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46" w:rsidRPr="00E92734" w:rsidRDefault="004C1F46" w:rsidP="004C1F4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E92734">
        <w:rPr>
          <w:rFonts w:ascii="標楷體" w:eastAsia="標楷體" w:hAnsi="標楷體" w:hint="eastAsia"/>
          <w:sz w:val="32"/>
          <w:szCs w:val="32"/>
        </w:rPr>
        <w:t>花蓮縣花蓮市明義國民小學畢業生受獎實施要點</w:t>
      </w:r>
      <w:r w:rsidR="00C852A5" w:rsidRPr="00C852A5">
        <w:rPr>
          <w:rFonts w:ascii="標楷體" w:eastAsia="標楷體" w:hAnsi="標楷體" w:hint="eastAsia"/>
          <w:color w:val="FF0000"/>
          <w:sz w:val="32"/>
          <w:szCs w:val="32"/>
        </w:rPr>
        <w:t>(稿)</w:t>
      </w:r>
    </w:p>
    <w:p w:rsidR="00617B94" w:rsidRPr="00490100" w:rsidRDefault="004C1F46" w:rsidP="00FF0B12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490100">
        <w:rPr>
          <w:rFonts w:ascii="標楷體" w:eastAsia="標楷體" w:hAnsi="標楷體" w:hint="eastAsia"/>
          <w:sz w:val="20"/>
          <w:szCs w:val="20"/>
        </w:rPr>
        <w:t>107</w:t>
      </w:r>
      <w:r w:rsidR="001D0371" w:rsidRPr="00490100">
        <w:rPr>
          <w:rFonts w:ascii="標楷體" w:eastAsia="標楷體" w:hAnsi="標楷體" w:hint="eastAsia"/>
          <w:sz w:val="20"/>
          <w:szCs w:val="20"/>
        </w:rPr>
        <w:t>.0</w:t>
      </w:r>
      <w:r w:rsidRPr="00490100">
        <w:rPr>
          <w:rFonts w:ascii="標楷體" w:eastAsia="標楷體" w:hAnsi="標楷體" w:hint="eastAsia"/>
          <w:sz w:val="20"/>
          <w:szCs w:val="20"/>
        </w:rPr>
        <w:t>9</w:t>
      </w:r>
      <w:r w:rsidR="001D0371" w:rsidRPr="00490100">
        <w:rPr>
          <w:rFonts w:ascii="標楷體" w:eastAsia="標楷體" w:hAnsi="標楷體" w:hint="eastAsia"/>
          <w:sz w:val="20"/>
          <w:szCs w:val="20"/>
        </w:rPr>
        <w:t>.0</w:t>
      </w:r>
      <w:r w:rsidRPr="00490100">
        <w:rPr>
          <w:rFonts w:ascii="標楷體" w:eastAsia="標楷體" w:hAnsi="標楷體" w:hint="eastAsia"/>
          <w:sz w:val="20"/>
          <w:szCs w:val="20"/>
        </w:rPr>
        <w:t>5校務會議通過</w:t>
      </w:r>
    </w:p>
    <w:p w:rsidR="003D1130" w:rsidRDefault="003A55E7" w:rsidP="00FF0B12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DD0FC3">
        <w:rPr>
          <w:rFonts w:ascii="標楷體" w:eastAsia="標楷體" w:hAnsi="標楷體" w:hint="eastAsia"/>
          <w:sz w:val="20"/>
          <w:szCs w:val="20"/>
        </w:rPr>
        <w:t>11</w:t>
      </w:r>
      <w:r w:rsidR="008063E1" w:rsidRPr="00DD0FC3">
        <w:rPr>
          <w:rFonts w:ascii="標楷體" w:eastAsia="標楷體" w:hAnsi="標楷體" w:hint="eastAsia"/>
          <w:sz w:val="20"/>
          <w:szCs w:val="20"/>
        </w:rPr>
        <w:t>2</w:t>
      </w:r>
      <w:r w:rsidRPr="00DD0FC3">
        <w:rPr>
          <w:rFonts w:ascii="標楷體" w:eastAsia="標楷體" w:hAnsi="標楷體" w:hint="eastAsia"/>
          <w:sz w:val="20"/>
          <w:szCs w:val="20"/>
        </w:rPr>
        <w:t>.</w:t>
      </w:r>
      <w:r w:rsidR="001D0371" w:rsidRPr="00DD0FC3">
        <w:rPr>
          <w:rFonts w:ascii="標楷體" w:eastAsia="標楷體" w:hAnsi="標楷體" w:hint="eastAsia"/>
          <w:sz w:val="20"/>
          <w:szCs w:val="20"/>
        </w:rPr>
        <w:t>0</w:t>
      </w:r>
      <w:r w:rsidRPr="00DD0FC3">
        <w:rPr>
          <w:rFonts w:ascii="標楷體" w:eastAsia="標楷體" w:hAnsi="標楷體" w:hint="eastAsia"/>
          <w:sz w:val="20"/>
          <w:szCs w:val="20"/>
        </w:rPr>
        <w:t>8.3</w:t>
      </w:r>
      <w:r w:rsidR="008063E1" w:rsidRPr="00DD0FC3">
        <w:rPr>
          <w:rFonts w:ascii="標楷體" w:eastAsia="標楷體" w:hAnsi="標楷體" w:hint="eastAsia"/>
          <w:sz w:val="20"/>
          <w:szCs w:val="20"/>
        </w:rPr>
        <w:t>0</w:t>
      </w:r>
      <w:r w:rsidRPr="00DD0FC3">
        <w:rPr>
          <w:rFonts w:ascii="標楷體" w:eastAsia="標楷體" w:hAnsi="標楷體" w:hint="eastAsia"/>
          <w:sz w:val="20"/>
          <w:szCs w:val="20"/>
        </w:rPr>
        <w:t>校務會議</w:t>
      </w:r>
      <w:r w:rsidR="001D0371" w:rsidRPr="00DD0FC3">
        <w:rPr>
          <w:rFonts w:ascii="標楷體" w:eastAsia="標楷體" w:hAnsi="標楷體" w:hint="eastAsia"/>
          <w:sz w:val="20"/>
          <w:szCs w:val="20"/>
        </w:rPr>
        <w:t>修正通過</w:t>
      </w:r>
    </w:p>
    <w:p w:rsidR="006007C8" w:rsidRPr="006007C8" w:rsidRDefault="006007C8" w:rsidP="00FF0B12">
      <w:pPr>
        <w:spacing w:line="24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4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.0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9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0</w:t>
      </w:r>
      <w:r w:rsidRPr="006007C8">
        <w:rPr>
          <w:rFonts w:ascii="標楷體" w:eastAsia="標楷體" w:hAnsi="標楷體" w:hint="eastAsia"/>
          <w:color w:val="FF0000"/>
          <w:sz w:val="20"/>
          <w:szCs w:val="20"/>
        </w:rPr>
        <w:t>3校務會議修正通過</w:t>
      </w:r>
    </w:p>
    <w:p w:rsidR="004C1F46" w:rsidRPr="00490100" w:rsidRDefault="004C1F46" w:rsidP="001D0371">
      <w:pPr>
        <w:tabs>
          <w:tab w:val="left" w:pos="720"/>
        </w:tabs>
        <w:adjustRightInd w:val="0"/>
        <w:snapToGrid w:val="0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</w:rPr>
        <w:t>一、依據：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/>
          <w:color w:val="000000"/>
        </w:rPr>
        <w:t>（</w:t>
      </w:r>
      <w:r w:rsidRPr="00490100">
        <w:rPr>
          <w:rFonts w:ascii="標楷體" w:eastAsia="標楷體" w:hAnsi="標楷體" w:hint="eastAsia"/>
          <w:color w:val="000000"/>
        </w:rPr>
        <w:t>一</w:t>
      </w:r>
      <w:r w:rsidRPr="00490100">
        <w:rPr>
          <w:rFonts w:ascii="標楷體" w:eastAsia="標楷體" w:hAnsi="標楷體"/>
          <w:color w:val="000000"/>
        </w:rPr>
        <w:t>）國民小學及國民中學學生成績評量準則</w:t>
      </w:r>
      <w:r w:rsidRPr="00490100">
        <w:rPr>
          <w:rFonts w:ascii="標楷體" w:eastAsia="標楷體" w:hAnsi="標楷體" w:hint="eastAsia"/>
          <w:color w:val="000000"/>
        </w:rPr>
        <w:t>。</w:t>
      </w:r>
    </w:p>
    <w:p w:rsidR="004C1F46" w:rsidRPr="00490100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  <w:color w:val="000000"/>
        </w:rPr>
        <w:t>（二）</w:t>
      </w:r>
      <w:r w:rsidRPr="00490100">
        <w:rPr>
          <w:rFonts w:ascii="標楷體" w:eastAsia="標楷體" w:hAnsi="標楷體" w:hint="eastAsia"/>
        </w:rPr>
        <w:t>花蓮縣國民小學及國民中學學生成績評量補充規定。</w:t>
      </w:r>
    </w:p>
    <w:p w:rsidR="004C1F46" w:rsidRPr="00490100" w:rsidRDefault="004C1F46" w:rsidP="001D0371">
      <w:pPr>
        <w:tabs>
          <w:tab w:val="left" w:pos="720"/>
        </w:tabs>
        <w:adjustRightInd w:val="0"/>
        <w:snapToGrid w:val="0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</w:rPr>
        <w:t>二、實施目的</w:t>
      </w:r>
      <w:r w:rsidRPr="00490100">
        <w:rPr>
          <w:rFonts w:ascii="標楷體" w:eastAsia="標楷體" w:hAnsi="標楷體"/>
        </w:rPr>
        <w:t>: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  <w:color w:val="000000"/>
        </w:rPr>
      </w:pPr>
      <w:r w:rsidRPr="00490100">
        <w:rPr>
          <w:rFonts w:ascii="標楷體" w:eastAsia="標楷體" w:hAnsi="標楷體"/>
          <w:color w:val="000000"/>
        </w:rPr>
        <w:t>（</w:t>
      </w:r>
      <w:r w:rsidRPr="00490100">
        <w:rPr>
          <w:rFonts w:ascii="標楷體" w:eastAsia="標楷體" w:hAnsi="標楷體" w:hint="eastAsia"/>
          <w:color w:val="000000"/>
        </w:rPr>
        <w:t>一</w:t>
      </w:r>
      <w:r w:rsidRPr="00490100">
        <w:rPr>
          <w:rFonts w:ascii="標楷體" w:eastAsia="標楷體" w:hAnsi="標楷體"/>
          <w:color w:val="000000"/>
        </w:rPr>
        <w:t>）肯定學生學習成就，兼顧各年段學童學習與發展情形。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  <w:color w:val="000000"/>
        </w:rPr>
      </w:pPr>
      <w:r w:rsidRPr="00490100">
        <w:rPr>
          <w:rFonts w:ascii="標楷體" w:eastAsia="標楷體" w:hAnsi="標楷體"/>
          <w:color w:val="000000"/>
        </w:rPr>
        <w:t>（</w:t>
      </w:r>
      <w:r w:rsidRPr="00490100">
        <w:rPr>
          <w:rFonts w:ascii="標楷體" w:eastAsia="標楷體" w:hAnsi="標楷體" w:hint="eastAsia"/>
          <w:color w:val="000000"/>
        </w:rPr>
        <w:t>二</w:t>
      </w:r>
      <w:r w:rsidRPr="00490100">
        <w:rPr>
          <w:rFonts w:ascii="標楷體" w:eastAsia="標楷體" w:hAnsi="標楷體"/>
          <w:color w:val="000000"/>
        </w:rPr>
        <w:t>）公平計算學生成績，平衡各領域及學生個別差異。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  <w:color w:val="000000"/>
        </w:rPr>
      </w:pPr>
      <w:r w:rsidRPr="00490100">
        <w:rPr>
          <w:rFonts w:ascii="標楷體" w:eastAsia="標楷體" w:hAnsi="標楷體"/>
          <w:color w:val="000000"/>
        </w:rPr>
        <w:t>（</w:t>
      </w:r>
      <w:r w:rsidRPr="00490100">
        <w:rPr>
          <w:rFonts w:ascii="標楷體" w:eastAsia="標楷體" w:hAnsi="標楷體" w:hint="eastAsia"/>
          <w:color w:val="000000"/>
        </w:rPr>
        <w:t>三</w:t>
      </w:r>
      <w:r w:rsidRPr="00490100">
        <w:rPr>
          <w:rFonts w:ascii="標楷體" w:eastAsia="標楷體" w:hAnsi="標楷體"/>
          <w:color w:val="000000"/>
        </w:rPr>
        <w:t>）建立完整成績計算方法，作為學生</w:t>
      </w:r>
      <w:r w:rsidRPr="00490100">
        <w:rPr>
          <w:rFonts w:ascii="標楷體" w:eastAsia="標楷體" w:hAnsi="標楷體" w:hint="eastAsia"/>
          <w:color w:val="000000"/>
        </w:rPr>
        <w:t>受獎依據</w:t>
      </w:r>
      <w:r w:rsidRPr="00490100">
        <w:rPr>
          <w:rFonts w:ascii="標楷體" w:eastAsia="標楷體" w:hAnsi="標楷體"/>
          <w:color w:val="000000"/>
        </w:rPr>
        <w:t>。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  <w:color w:val="000000"/>
        </w:rPr>
      </w:pPr>
      <w:r w:rsidRPr="00490100">
        <w:rPr>
          <w:rFonts w:ascii="標楷體" w:eastAsia="標楷體" w:hAnsi="標楷體" w:hint="eastAsia"/>
          <w:color w:val="000000"/>
        </w:rPr>
        <w:t>（四）透過公開表揚儀式，鼓勵學生奮發向上精神。</w:t>
      </w:r>
    </w:p>
    <w:p w:rsidR="004C1F46" w:rsidRPr="00490100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  <w:color w:val="000000"/>
        </w:rPr>
        <w:t>（五）透過各種鼓勵獎項，激勵學生各領域均衡發展。</w:t>
      </w:r>
      <w:bookmarkStart w:id="0" w:name="_GoBack"/>
      <w:bookmarkEnd w:id="0"/>
    </w:p>
    <w:p w:rsidR="004C1F46" w:rsidRPr="00490100" w:rsidRDefault="004C1F46" w:rsidP="001D0371">
      <w:pPr>
        <w:tabs>
          <w:tab w:val="left" w:pos="720"/>
        </w:tabs>
        <w:adjustRightInd w:val="0"/>
        <w:snapToGrid w:val="0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</w:rPr>
        <w:t>三、實施方式：</w:t>
      </w:r>
    </w:p>
    <w:p w:rsidR="004C1F46" w:rsidRPr="001521B2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490100">
        <w:rPr>
          <w:rFonts w:ascii="標楷體" w:eastAsia="標楷體" w:hAnsi="標楷體" w:hint="eastAsia"/>
        </w:rPr>
        <w:t>（</w:t>
      </w:r>
      <w:r w:rsidRPr="001521B2">
        <w:rPr>
          <w:rFonts w:ascii="標楷體" w:eastAsia="標楷體" w:hAnsi="標楷體" w:hint="eastAsia"/>
        </w:rPr>
        <w:t>一）畢業成績計算：</w:t>
      </w:r>
      <w:r w:rsidRPr="001521B2">
        <w:rPr>
          <w:rFonts w:ascii="標楷體" w:eastAsia="標楷體" w:hAnsi="標楷體" w:hint="eastAsia"/>
          <w:b/>
        </w:rPr>
        <w:t>畢業成績以一至六年級上學期共11學期之各學習領域成績總平均計算</w:t>
      </w:r>
      <w:r w:rsidRPr="001521B2">
        <w:rPr>
          <w:rFonts w:ascii="標楷體" w:eastAsia="標楷體" w:hAnsi="標楷體" w:hint="eastAsia"/>
        </w:rPr>
        <w:t>，計算方式如下：</w:t>
      </w:r>
    </w:p>
    <w:p w:rsidR="004C1F46" w:rsidRPr="001521B2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521B2">
        <w:rPr>
          <w:rFonts w:ascii="標楷體" w:eastAsia="標楷體" w:hAnsi="標楷體" w:hint="eastAsia"/>
        </w:rPr>
        <w:t xml:space="preserve">  1.低年級學習領域評量成績：20％。</w:t>
      </w:r>
    </w:p>
    <w:p w:rsidR="004C1F46" w:rsidRPr="001521B2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521B2">
        <w:rPr>
          <w:rFonts w:ascii="標楷體" w:eastAsia="標楷體" w:hAnsi="標楷體" w:hint="eastAsia"/>
        </w:rPr>
        <w:t xml:space="preserve">  2.中年級學習領域評量成績：30％。</w:t>
      </w:r>
    </w:p>
    <w:p w:rsidR="004C1F46" w:rsidRPr="001521B2" w:rsidRDefault="004C1F46" w:rsidP="00490100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/>
        </w:rPr>
      </w:pPr>
      <w:r w:rsidRPr="001521B2">
        <w:rPr>
          <w:rFonts w:ascii="標楷體" w:eastAsia="標楷體" w:hAnsi="標楷體" w:hint="eastAsia"/>
        </w:rPr>
        <w:t xml:space="preserve">  3.高年級學習領域評量成績：50％（五年級占30％、六年級占20％）。</w:t>
      </w:r>
    </w:p>
    <w:p w:rsidR="004C1F46" w:rsidRPr="006007C8" w:rsidRDefault="001D0371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  <w:color w:val="000000" w:themeColor="text1"/>
        </w:rPr>
      </w:pPr>
      <w:r w:rsidRPr="006007C8">
        <w:rPr>
          <w:rFonts w:ascii="標楷體" w:eastAsia="標楷體" w:hAnsi="標楷體"/>
          <w:color w:val="000000" w:themeColor="text1"/>
        </w:rPr>
        <w:t>（二）畢業生因特殊情況導致部份學期成績不完整，其學習領域表現卓越，得由畢業班導師敘明事實及理由，經畢業生獎項審查委員會審議通過後，頒予學習領域特別獎。</w:t>
      </w:r>
    </w:p>
    <w:p w:rsidR="007220F5" w:rsidRDefault="00421F42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1521B2">
        <w:rPr>
          <w:rFonts w:ascii="標楷體" w:eastAsia="標楷體" w:hAnsi="標楷體" w:hint="eastAsia"/>
        </w:rPr>
        <w:t>（</w:t>
      </w:r>
      <w:r w:rsidR="001D0371" w:rsidRPr="001521B2">
        <w:rPr>
          <w:rFonts w:ascii="標楷體" w:eastAsia="標楷體" w:hAnsi="標楷體" w:hint="eastAsia"/>
        </w:rPr>
        <w:t>三</w:t>
      </w:r>
      <w:r w:rsidRPr="001521B2">
        <w:rPr>
          <w:rFonts w:ascii="標楷體" w:eastAsia="標楷體" w:hAnsi="標楷體" w:hint="eastAsia"/>
        </w:rPr>
        <w:t>）</w:t>
      </w:r>
      <w:r w:rsidR="00CC6C38" w:rsidRPr="001521B2">
        <w:rPr>
          <w:rFonts w:ascii="標楷體" w:eastAsia="標楷體" w:hAnsi="標楷體" w:hint="eastAsia"/>
        </w:rPr>
        <w:t>學</w:t>
      </w:r>
      <w:r w:rsidRPr="001521B2">
        <w:rPr>
          <w:rFonts w:ascii="標楷體" w:eastAsia="標楷體" w:hAnsi="標楷體" w:hint="eastAsia"/>
        </w:rPr>
        <w:t>生</w:t>
      </w:r>
      <w:r w:rsidR="00CC6C38" w:rsidRPr="001521B2">
        <w:rPr>
          <w:rFonts w:ascii="標楷體" w:eastAsia="標楷體" w:hAnsi="標楷體" w:hint="eastAsia"/>
        </w:rPr>
        <w:t>就學期間</w:t>
      </w:r>
      <w:r w:rsidRPr="001521B2">
        <w:rPr>
          <w:rFonts w:ascii="標楷體" w:eastAsia="標楷體" w:hAnsi="標楷體" w:hint="eastAsia"/>
        </w:rPr>
        <w:t>因故未</w:t>
      </w:r>
      <w:r w:rsidR="00056A98" w:rsidRPr="001521B2">
        <w:rPr>
          <w:rFonts w:ascii="標楷體" w:eastAsia="標楷體" w:hAnsi="標楷體" w:hint="eastAsia"/>
        </w:rPr>
        <w:t>與其他同學一起</w:t>
      </w:r>
      <w:r w:rsidRPr="001521B2">
        <w:rPr>
          <w:rFonts w:ascii="標楷體" w:eastAsia="標楷體" w:hAnsi="標楷體" w:hint="eastAsia"/>
        </w:rPr>
        <w:t>參加校內定期評量或補考，而改</w:t>
      </w:r>
      <w:proofErr w:type="gramStart"/>
      <w:r w:rsidRPr="001521B2">
        <w:rPr>
          <w:rFonts w:ascii="標楷體" w:eastAsia="標楷體" w:hAnsi="標楷體" w:hint="eastAsia"/>
        </w:rPr>
        <w:t>採</w:t>
      </w:r>
      <w:proofErr w:type="gramEnd"/>
      <w:r w:rsidRPr="001521B2">
        <w:rPr>
          <w:rFonts w:ascii="標楷體" w:eastAsia="標楷體" w:hAnsi="標楷體" w:hint="eastAsia"/>
        </w:rPr>
        <w:t>多元評量者，基於公平原則，不得參加畢業生獎項評選。</w:t>
      </w:r>
    </w:p>
    <w:p w:rsidR="006007C8" w:rsidRPr="001521B2" w:rsidRDefault="006007C8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 w:hint="eastAsia"/>
        </w:rPr>
      </w:pPr>
      <w:r w:rsidRPr="006007C8">
        <w:rPr>
          <w:rFonts w:ascii="標楷體" w:eastAsia="標楷體" w:hAnsi="標楷體" w:hint="eastAsia"/>
          <w:color w:val="FF0000"/>
        </w:rPr>
        <w:t>（四）</w:t>
      </w:r>
      <w:r w:rsidR="00B92759">
        <w:rPr>
          <w:rFonts w:ascii="標楷體" w:eastAsia="標楷體" w:hAnsi="標楷體" w:hint="eastAsia"/>
          <w:color w:val="FF0000"/>
        </w:rPr>
        <w:t>依「</w:t>
      </w:r>
      <w:r w:rsidR="00B92759" w:rsidRPr="00B92759">
        <w:rPr>
          <w:rFonts w:ascii="標楷體" w:eastAsia="標楷體" w:hAnsi="標楷體" w:hint="eastAsia"/>
          <w:color w:val="FF0000"/>
        </w:rPr>
        <w:t>花蓮縣國民小學及國民中學學生成績評量補充規定</w:t>
      </w:r>
      <w:r w:rsidR="00B92759">
        <w:rPr>
          <w:rFonts w:ascii="標楷體" w:eastAsia="標楷體" w:hAnsi="標楷體" w:hint="eastAsia"/>
          <w:color w:val="FF0000"/>
        </w:rPr>
        <w:t>」第九條第一項第</w:t>
      </w:r>
      <w:r w:rsidR="00B92759" w:rsidRPr="00B92759">
        <w:rPr>
          <w:rFonts w:ascii="標楷體" w:eastAsia="標楷體" w:hAnsi="標楷體" w:hint="eastAsia"/>
          <w:color w:val="FF0000"/>
        </w:rPr>
        <w:t>（四）</w:t>
      </w:r>
      <w:r w:rsidR="00B92759">
        <w:rPr>
          <w:rFonts w:ascii="標楷體" w:eastAsia="標楷體" w:hAnsi="標楷體" w:hint="eastAsia"/>
          <w:color w:val="FF0000"/>
        </w:rPr>
        <w:t>款所示：</w:t>
      </w:r>
      <w:r w:rsidR="00B92759">
        <w:rPr>
          <w:rFonts w:ascii="標楷體" w:eastAsia="標楷體" w:hAnsi="標楷體" w:hint="eastAsia"/>
          <w:color w:val="FF0000"/>
        </w:rPr>
        <w:t>「</w:t>
      </w:r>
      <w:r w:rsidR="00B92759" w:rsidRPr="00B92759">
        <w:rPr>
          <w:rFonts w:ascii="標楷體" w:eastAsia="標楷體" w:hAnsi="標楷體" w:hint="eastAsia"/>
          <w:color w:val="FF0000"/>
        </w:rPr>
        <w:t>申請實驗教育之學生成績，倘涉及畢業成績計算，不列入畢業成績獎項評比。</w:t>
      </w:r>
      <w:r w:rsidR="00B92759">
        <w:rPr>
          <w:rFonts w:ascii="標楷體" w:eastAsia="標楷體" w:hAnsi="標楷體" w:hint="eastAsia"/>
          <w:color w:val="FF0000"/>
        </w:rPr>
        <w:t>」</w:t>
      </w:r>
    </w:p>
    <w:p w:rsidR="004C1F46" w:rsidRPr="001521B2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五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1521B2">
        <w:rPr>
          <w:rFonts w:ascii="標楷體" w:eastAsia="標楷體" w:hAnsi="標楷體" w:hint="eastAsia"/>
        </w:rPr>
        <w:t>以總平均分數排序最高分者為第一名，往後名次以此類推。如有同分者，以語文成績優先排序，若仍同分，再以數學成績排序。</w:t>
      </w:r>
    </w:p>
    <w:p w:rsidR="004C1F46" w:rsidRPr="001521B2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六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1521B2">
        <w:rPr>
          <w:rFonts w:ascii="標楷體" w:eastAsia="標楷體" w:hAnsi="標楷體" w:hint="eastAsia"/>
        </w:rPr>
        <w:t>學習領域獎頒發：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 w:cs="TTB7CF9C5CtCID-WinCharSetFFFF-H"/>
          <w:kern w:val="0"/>
        </w:rPr>
      </w:pPr>
      <w:r w:rsidRPr="00490100">
        <w:rPr>
          <w:rFonts w:ascii="標楷體" w:eastAsia="標楷體" w:hAnsi="標楷體" w:hint="eastAsia"/>
        </w:rPr>
        <w:t xml:space="preserve">      依</w:t>
      </w:r>
      <w:r w:rsidRPr="00490100">
        <w:rPr>
          <w:rFonts w:ascii="標楷體" w:eastAsia="標楷體" w:hAnsi="標楷體" w:cs="TTB7CF9C5CtCID-WinCharSetFFFF-H" w:hint="eastAsia"/>
          <w:kern w:val="0"/>
        </w:rPr>
        <w:t>第（一）款之規定總平均分數排序，最高分者為第一名，往後名次以此類推，</w:t>
      </w:r>
      <w:proofErr w:type="gramStart"/>
      <w:r w:rsidRPr="00490100">
        <w:rPr>
          <w:rFonts w:ascii="標楷體" w:eastAsia="標楷體" w:hAnsi="標楷體" w:cs="TTB7CF9C5CtCID-WinCharSetFFFF-H" w:hint="eastAsia"/>
          <w:kern w:val="0"/>
        </w:rPr>
        <w:t>每班依名次</w:t>
      </w:r>
      <w:proofErr w:type="gramEnd"/>
      <w:r w:rsidRPr="00490100">
        <w:rPr>
          <w:rFonts w:ascii="標楷體" w:eastAsia="標楷體" w:hAnsi="標楷體" w:cs="TTB7CF9C5CtCID-WinCharSetFFFF-H" w:hint="eastAsia"/>
          <w:kern w:val="0"/>
        </w:rPr>
        <w:t>高低依序獲頒獎項及人數如下：縣長獎一名、議長獎一名、市長獎一名、市民代表會主席獎一名、校長獎一名、家長會長獎一名、學習領域優良獎五名、明義國小獎學金四名、明義國小員生消費合作社獎學金五名及機關</w:t>
      </w:r>
      <w:proofErr w:type="gramStart"/>
      <w:r w:rsidRPr="00490100">
        <w:rPr>
          <w:rFonts w:ascii="標楷體" w:eastAsia="標楷體" w:hAnsi="標楷體" w:cs="TTB7CF9C5CtCID-WinCharSetFFFF-H" w:hint="eastAsia"/>
          <w:kern w:val="0"/>
        </w:rPr>
        <w:t>團體獎視各</w:t>
      </w:r>
      <w:proofErr w:type="gramEnd"/>
      <w:r w:rsidRPr="00490100">
        <w:rPr>
          <w:rFonts w:ascii="標楷體" w:eastAsia="標楷體" w:hAnsi="標楷體" w:cs="TTB7CF9C5CtCID-WinCharSetFFFF-H" w:hint="eastAsia"/>
          <w:kern w:val="0"/>
        </w:rPr>
        <w:t>單位提供之獎項、獎學金而定。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七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490100">
        <w:rPr>
          <w:rFonts w:ascii="標楷體" w:eastAsia="標楷體" w:hAnsi="標楷體" w:cs="TTB7CF9C5CtCID-WinCharSetFFFF-H" w:hint="eastAsia"/>
          <w:kern w:val="0"/>
        </w:rPr>
        <w:t>模範生獎頒發：每班一名，由各班導師自行訂定評選標準。</w:t>
      </w:r>
    </w:p>
    <w:p w:rsidR="004C1F46" w:rsidRPr="00490100" w:rsidRDefault="004C1F46" w:rsidP="00490100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八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1521B2">
        <w:rPr>
          <w:rFonts w:ascii="標楷體" w:eastAsia="標楷體" w:hAnsi="標楷體" w:hint="eastAsia"/>
        </w:rPr>
        <w:t>第（</w:t>
      </w:r>
      <w:r w:rsidR="001D0371" w:rsidRPr="001521B2">
        <w:rPr>
          <w:rFonts w:ascii="標楷體" w:eastAsia="標楷體" w:hAnsi="標楷體" w:hint="eastAsia"/>
        </w:rPr>
        <w:t>五</w:t>
      </w:r>
      <w:r w:rsidRPr="001521B2">
        <w:rPr>
          <w:rFonts w:ascii="標楷體" w:eastAsia="標楷體" w:hAnsi="標楷體" w:hint="eastAsia"/>
        </w:rPr>
        <w:t>）款之獎項，</w:t>
      </w:r>
      <w:r w:rsidR="003D1130" w:rsidRPr="001521B2">
        <w:rPr>
          <w:rFonts w:ascii="標楷體" w:eastAsia="標楷體" w:hAnsi="標楷體" w:hint="eastAsia"/>
          <w:b/>
        </w:rPr>
        <w:t>每位學生僅得受頒一項</w:t>
      </w:r>
      <w:r w:rsidRPr="001521B2">
        <w:rPr>
          <w:rFonts w:ascii="標楷體" w:eastAsia="標楷體" w:hAnsi="標楷體" w:hint="eastAsia"/>
        </w:rPr>
        <w:t>；各班導師負責各獎項名單之初審。</w:t>
      </w:r>
    </w:p>
    <w:p w:rsidR="004C1F46" w:rsidRPr="00490100" w:rsidRDefault="004C1F46" w:rsidP="001D0371">
      <w:pPr>
        <w:adjustRightInd w:val="0"/>
        <w:snapToGrid w:val="0"/>
        <w:contextualSpacing/>
        <w:rPr>
          <w:rFonts w:ascii="標楷體" w:eastAsia="標楷體" w:hAnsi="標楷體" w:cs="TTB7CF9C5CtCID-WinCharSetFFFF-H"/>
          <w:kern w:val="0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九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490100">
        <w:rPr>
          <w:rFonts w:ascii="標楷體" w:eastAsia="標楷體" w:hAnsi="標楷體" w:hint="eastAsia"/>
        </w:rPr>
        <w:t>公共服務及才藝傑出獎</w:t>
      </w:r>
      <w:r w:rsidRPr="00490100">
        <w:rPr>
          <w:rFonts w:ascii="標楷體" w:eastAsia="標楷體" w:hAnsi="標楷體" w:cs="TTB7CF9C5CtCID-WinCharSetFFFF-H" w:hint="eastAsia"/>
          <w:kern w:val="0"/>
        </w:rPr>
        <w:t>頒發：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1.公共服務獎：由各處室依學生服務情況提報名單頒發，各項服務每位學生以受頒一項為原則。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2.</w:t>
      </w:r>
      <w:r w:rsidRPr="001D0371">
        <w:rPr>
          <w:rFonts w:ascii="標楷體" w:eastAsia="標楷體" w:hAnsi="標楷體" w:hint="eastAsia"/>
        </w:rPr>
        <w:t>體育類：</w:t>
      </w:r>
      <w:r w:rsidRPr="001D0371">
        <w:rPr>
          <w:rFonts w:ascii="標楷體" w:eastAsia="標楷體" w:hAnsi="標楷體" w:cs="TTB7CF9C5CtCID-WinCharSetFFFF-H" w:hint="eastAsia"/>
          <w:kern w:val="0"/>
        </w:rPr>
        <w:t>畢業生在校期間於</w:t>
      </w:r>
      <w:r w:rsidR="00EE0D8F" w:rsidRPr="00DD0FC3">
        <w:rPr>
          <w:rFonts w:ascii="標楷體" w:eastAsia="標楷體" w:hAnsi="標楷體" w:cs="TTB7CF9C5CtCID-WinCharSetFFFF-H" w:hint="eastAsia"/>
          <w:kern w:val="0"/>
        </w:rPr>
        <w:t>休閒娛樂</w:t>
      </w:r>
      <w:r w:rsidR="00EE0D8F">
        <w:rPr>
          <w:rFonts w:ascii="標楷體" w:eastAsia="標楷體" w:hAnsi="標楷體" w:cs="TTB7CF9C5CtCID-WinCharSetFFFF-H" w:hint="eastAsia"/>
          <w:kern w:val="0"/>
        </w:rPr>
        <w:t>、</w:t>
      </w:r>
      <w:r w:rsidRPr="001D0371">
        <w:rPr>
          <w:rFonts w:ascii="標楷體" w:eastAsia="標楷體" w:hAnsi="標楷體" w:cs="TTB7CF9C5CtCID-WinCharSetFFFF-H" w:hint="eastAsia"/>
          <w:kern w:val="0"/>
        </w:rPr>
        <w:t>健康與體育方面有優異表現，參加校內或對外比賽成績優良或擔任學校校隊。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3.</w:t>
      </w:r>
      <w:r w:rsidRPr="001D0371">
        <w:rPr>
          <w:rFonts w:ascii="標楷體" w:eastAsia="標楷體" w:hAnsi="標楷體" w:hint="eastAsia"/>
        </w:rPr>
        <w:t>藝能類：畢業生在校期間於藝術與人文（音樂、舞蹈、美術）方面有優異表現（含寒暑假作業優良），參加對外比賽成績優良或擔任學校校隊。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4.</w:t>
      </w:r>
      <w:r w:rsidRPr="001D0371">
        <w:rPr>
          <w:rFonts w:ascii="標楷體" w:eastAsia="標楷體" w:hAnsi="標楷體" w:hint="eastAsia"/>
        </w:rPr>
        <w:t>語文類；畢業生在校期間於語文方面，如：演說、朗讀、寫字、作文等有優異表現（含寒暑假作業、寒暑假閱讀優良、閱讀護照優良），參加校內或對外比賽成績優良。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5.數學類：</w:t>
      </w:r>
      <w:r w:rsidRPr="001D0371">
        <w:rPr>
          <w:rFonts w:ascii="標楷體" w:eastAsia="標楷體" w:hAnsi="標楷體" w:hint="eastAsia"/>
        </w:rPr>
        <w:t>畢業生在校期間於數學方面有優異表現，參加校內或對外比賽成績優良。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 w:cs="TTB7CF9C5CtCID-WinCharSetFFFF-H"/>
          <w:kern w:val="0"/>
        </w:rPr>
      </w:pPr>
      <w:r w:rsidRPr="001D0371">
        <w:rPr>
          <w:rFonts w:ascii="標楷體" w:eastAsia="標楷體" w:hAnsi="標楷體" w:cs="TTB7CF9C5CtCID-WinCharSetFFFF-H" w:hint="eastAsia"/>
          <w:kern w:val="0"/>
        </w:rPr>
        <w:t xml:space="preserve">  6.科學創作類：</w:t>
      </w:r>
      <w:r w:rsidRPr="001D0371">
        <w:rPr>
          <w:rFonts w:ascii="標楷體" w:eastAsia="標楷體" w:hAnsi="標楷體" w:hint="eastAsia"/>
        </w:rPr>
        <w:t>畢業生在校期間於科學創作方面有優異表現，參加校內或對外比賽成績優良。</w:t>
      </w:r>
    </w:p>
    <w:p w:rsidR="004C1F46" w:rsidRPr="001D0371" w:rsidRDefault="004C1F46" w:rsidP="001D0371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4B6D14" w:rsidRPr="00A24DFA">
        <w:rPr>
          <w:rFonts w:ascii="標楷體" w:eastAsia="標楷體" w:hAnsi="標楷體" w:hint="eastAsia"/>
          <w:color w:val="FF0000"/>
        </w:rPr>
        <w:t>十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1D0371">
        <w:rPr>
          <w:rFonts w:ascii="標楷體" w:eastAsia="標楷體" w:hAnsi="標楷體" w:hint="eastAsia"/>
        </w:rPr>
        <w:t>第（</w:t>
      </w:r>
      <w:r w:rsidR="00A24DFA" w:rsidRPr="00A24DFA">
        <w:rPr>
          <w:rFonts w:ascii="標楷體" w:eastAsia="標楷體" w:hAnsi="標楷體" w:hint="eastAsia"/>
          <w:color w:val="FF0000"/>
        </w:rPr>
        <w:t>九</w:t>
      </w:r>
      <w:r w:rsidRPr="001D0371">
        <w:rPr>
          <w:rFonts w:ascii="標楷體" w:eastAsia="標楷體" w:hAnsi="標楷體" w:hint="eastAsia"/>
        </w:rPr>
        <w:t>）款</w:t>
      </w:r>
      <w:r w:rsidR="00E7468A" w:rsidRPr="001D0371">
        <w:rPr>
          <w:rFonts w:ascii="標楷體" w:eastAsia="標楷體" w:hAnsi="標楷體" w:cs="CIDFont+F1" w:hint="eastAsia"/>
          <w:kern w:val="0"/>
        </w:rPr>
        <w:t>第</w:t>
      </w:r>
      <w:r w:rsidR="00E7468A" w:rsidRPr="001D0371">
        <w:rPr>
          <w:rFonts w:ascii="標楷體" w:eastAsia="標楷體" w:hAnsi="標楷體" w:cs="CIDFont+F1"/>
          <w:kern w:val="0"/>
        </w:rPr>
        <w:t>2</w:t>
      </w:r>
      <w:r w:rsidR="00E7468A" w:rsidRPr="001D0371">
        <w:rPr>
          <w:rFonts w:ascii="標楷體" w:eastAsia="標楷體" w:hAnsi="標楷體" w:cs="CIDFont+F1" w:hint="eastAsia"/>
          <w:kern w:val="0"/>
        </w:rPr>
        <w:t>至第</w:t>
      </w:r>
      <w:r w:rsidR="00E7468A" w:rsidRPr="001D0371">
        <w:rPr>
          <w:rFonts w:ascii="標楷體" w:eastAsia="標楷體" w:hAnsi="標楷體" w:cs="CIDFont+F1"/>
          <w:kern w:val="0"/>
        </w:rPr>
        <w:t>6</w:t>
      </w:r>
      <w:r w:rsidR="00E7468A" w:rsidRPr="001D0371">
        <w:rPr>
          <w:rFonts w:ascii="標楷體" w:eastAsia="標楷體" w:hAnsi="標楷體" w:cs="CIDFont+F1" w:hint="eastAsia"/>
          <w:kern w:val="0"/>
        </w:rPr>
        <w:t>目獎項，每位學生以參選兩類及受頒一類獎項為原則。</w:t>
      </w:r>
    </w:p>
    <w:p w:rsidR="004C1F46" w:rsidRPr="001D0371" w:rsidRDefault="004C1F46" w:rsidP="001D0371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 w:cs="TTB7CF9C5CtCID-WinCharSetFFFF-H"/>
          <w:kern w:val="0"/>
        </w:rPr>
      </w:pPr>
      <w:r w:rsidRPr="00A24DFA">
        <w:rPr>
          <w:rFonts w:ascii="標楷體" w:eastAsia="標楷體" w:hAnsi="標楷體" w:hint="eastAsia"/>
          <w:color w:val="FF0000"/>
        </w:rPr>
        <w:t>（</w:t>
      </w:r>
      <w:r w:rsidR="001D0371" w:rsidRPr="00A24DFA">
        <w:rPr>
          <w:rFonts w:ascii="標楷體" w:eastAsia="標楷體" w:hAnsi="標楷體" w:hint="eastAsia"/>
          <w:color w:val="FF0000"/>
        </w:rPr>
        <w:t>十</w:t>
      </w:r>
      <w:r w:rsidR="00A24DFA" w:rsidRPr="00A24DFA">
        <w:rPr>
          <w:rFonts w:ascii="標楷體" w:eastAsia="標楷體" w:hAnsi="標楷體" w:hint="eastAsia"/>
          <w:color w:val="FF0000"/>
        </w:rPr>
        <w:t>一</w:t>
      </w:r>
      <w:r w:rsidRPr="00A24DFA">
        <w:rPr>
          <w:rFonts w:ascii="標楷體" w:eastAsia="標楷體" w:hAnsi="標楷體" w:hint="eastAsia"/>
          <w:color w:val="FF0000"/>
        </w:rPr>
        <w:t>）</w:t>
      </w:r>
      <w:r w:rsidRPr="001D0371">
        <w:rPr>
          <w:rFonts w:ascii="標楷體" w:eastAsia="標楷體" w:hAnsi="標楷體" w:hint="eastAsia"/>
        </w:rPr>
        <w:t>第（</w:t>
      </w:r>
      <w:r w:rsidR="00A24DFA" w:rsidRPr="00A24DFA">
        <w:rPr>
          <w:rFonts w:ascii="標楷體" w:eastAsia="標楷體" w:hAnsi="標楷體" w:hint="eastAsia"/>
          <w:color w:val="FF0000"/>
        </w:rPr>
        <w:t>九</w:t>
      </w:r>
      <w:r w:rsidRPr="001D0371">
        <w:rPr>
          <w:rFonts w:ascii="標楷體" w:eastAsia="標楷體" w:hAnsi="標楷體" w:hint="eastAsia"/>
        </w:rPr>
        <w:t>）款之獎項，</w:t>
      </w:r>
      <w:proofErr w:type="gramStart"/>
      <w:r w:rsidRPr="001D0371">
        <w:rPr>
          <w:rFonts w:ascii="標楷體" w:eastAsia="標楷體" w:hAnsi="標楷體" w:cs="TTB7CF9C5CtCID-WinCharSetFFFF-H" w:hint="eastAsia"/>
          <w:kern w:val="0"/>
        </w:rPr>
        <w:t>採</w:t>
      </w:r>
      <w:proofErr w:type="gramEnd"/>
      <w:r w:rsidRPr="001D0371">
        <w:rPr>
          <w:rFonts w:ascii="標楷體" w:eastAsia="標楷體" w:hAnsi="標楷體" w:cs="TTB7CF9C5CtCID-WinCharSetFFFF-H" w:hint="eastAsia"/>
          <w:kern w:val="0"/>
        </w:rPr>
        <w:t>計一年級至六年級在校</w:t>
      </w:r>
      <w:proofErr w:type="gramStart"/>
      <w:r w:rsidRPr="001D0371">
        <w:rPr>
          <w:rFonts w:ascii="標楷體" w:eastAsia="標楷體" w:hAnsi="標楷體" w:cs="TTB7CF9C5CtCID-WinCharSetFFFF-H" w:hint="eastAsia"/>
          <w:kern w:val="0"/>
        </w:rPr>
        <w:t>期間，</w:t>
      </w:r>
      <w:proofErr w:type="gramEnd"/>
      <w:r w:rsidRPr="001D0371">
        <w:rPr>
          <w:rFonts w:ascii="標楷體" w:eastAsia="標楷體" w:hAnsi="標楷體" w:cs="TTB7CF9C5CtCID-WinCharSetFFFF-H" w:hint="eastAsia"/>
          <w:kern w:val="0"/>
        </w:rPr>
        <w:t>校內或對外表現或比賽成績。</w:t>
      </w:r>
    </w:p>
    <w:p w:rsidR="004C1F46" w:rsidRPr="001D0371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四、畢業生獎項</w:t>
      </w:r>
      <w:r w:rsidRPr="001D0371">
        <w:rPr>
          <w:rFonts w:ascii="標楷體" w:eastAsia="標楷體" w:hAnsi="標楷體"/>
        </w:rPr>
        <w:t>審查委員會：</w:t>
      </w:r>
    </w:p>
    <w:p w:rsidR="004C1F46" w:rsidRPr="001D0371" w:rsidRDefault="004C1F46" w:rsidP="001D0371">
      <w:pPr>
        <w:adjustRightInd w:val="0"/>
        <w:snapToGrid w:val="0"/>
        <w:ind w:left="1416" w:hangingChars="590" w:hanging="1416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（一）成員：教務主任</w:t>
      </w:r>
      <w:r w:rsidRPr="001D0371">
        <w:rPr>
          <w:rFonts w:ascii="標楷體" w:eastAsia="標楷體" w:hAnsi="標楷體"/>
        </w:rPr>
        <w:t>擔任召集人，其他成員為家長會代表</w:t>
      </w:r>
      <w:r w:rsidRPr="001D0371">
        <w:rPr>
          <w:rFonts w:ascii="標楷體" w:eastAsia="標楷體" w:hAnsi="標楷體" w:hint="eastAsia"/>
        </w:rPr>
        <w:t>2</w:t>
      </w:r>
      <w:r w:rsidRPr="001D0371">
        <w:rPr>
          <w:rFonts w:ascii="標楷體" w:eastAsia="標楷體" w:hAnsi="標楷體"/>
        </w:rPr>
        <w:t>位、六年級教師代表2位</w:t>
      </w:r>
      <w:r w:rsidRPr="001D0371">
        <w:rPr>
          <w:rFonts w:ascii="標楷體" w:eastAsia="標楷體" w:hAnsi="標楷體" w:hint="eastAsia"/>
        </w:rPr>
        <w:t>、五年級教師代表2位、中年級教師代表2位、低年級教師代表2位、科任教師代表2位，</w:t>
      </w:r>
      <w:r w:rsidRPr="001D0371">
        <w:rPr>
          <w:rFonts w:ascii="標楷體" w:eastAsia="標楷體" w:hAnsi="標楷體"/>
        </w:rPr>
        <w:t>共</w:t>
      </w:r>
      <w:r w:rsidRPr="001D0371">
        <w:rPr>
          <w:rFonts w:ascii="標楷體" w:eastAsia="標楷體" w:hAnsi="標楷體" w:hint="eastAsia"/>
        </w:rPr>
        <w:t>13</w:t>
      </w:r>
      <w:r w:rsidRPr="001D0371">
        <w:rPr>
          <w:rFonts w:ascii="標楷體" w:eastAsia="標楷體" w:hAnsi="標楷體"/>
        </w:rPr>
        <w:lastRenderedPageBreak/>
        <w:t>名</w:t>
      </w:r>
      <w:r w:rsidR="00E7468A" w:rsidRPr="001D0371">
        <w:rPr>
          <w:rFonts w:ascii="標楷體" w:eastAsia="標楷體" w:hAnsi="標楷體"/>
        </w:rPr>
        <w:t>。</w:t>
      </w:r>
    </w:p>
    <w:p w:rsidR="004C1F46" w:rsidRPr="001D0371" w:rsidRDefault="004C1F46" w:rsidP="001D0371">
      <w:pPr>
        <w:adjustRightInd w:val="0"/>
        <w:snapToGrid w:val="0"/>
        <w:ind w:left="708" w:hangingChars="295" w:hanging="708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 xml:space="preserve">      </w:t>
      </w:r>
      <w:r w:rsidRPr="001D0371">
        <w:rPr>
          <w:rFonts w:ascii="標楷體" w:eastAsia="標楷體" w:hAnsi="標楷體"/>
        </w:rPr>
        <w:t>學校教師的</w:t>
      </w:r>
      <w:r w:rsidRPr="001D0371">
        <w:rPr>
          <w:rFonts w:ascii="標楷體" w:eastAsia="標楷體" w:hAnsi="標楷體" w:hint="eastAsia"/>
        </w:rPr>
        <w:t>三等親內學生</w:t>
      </w:r>
      <w:r w:rsidRPr="001D0371">
        <w:rPr>
          <w:rFonts w:ascii="標楷體" w:eastAsia="標楷體" w:hAnsi="標楷體"/>
        </w:rPr>
        <w:t>參加評選，該教師應依據迴避原則，不可擔任</w:t>
      </w:r>
      <w:r w:rsidRPr="001D0371">
        <w:rPr>
          <w:rFonts w:ascii="標楷體" w:eastAsia="標楷體" w:hAnsi="標楷體" w:hint="eastAsia"/>
        </w:rPr>
        <w:t>審查</w:t>
      </w:r>
      <w:r w:rsidRPr="001D0371">
        <w:rPr>
          <w:rFonts w:ascii="標楷體" w:eastAsia="標楷體" w:hAnsi="標楷體"/>
        </w:rPr>
        <w:t>委員，家長代表亦然。</w:t>
      </w:r>
    </w:p>
    <w:p w:rsidR="004C1F46" w:rsidRPr="001D0371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（二）任務：</w:t>
      </w:r>
    </w:p>
    <w:p w:rsidR="004C1F46" w:rsidRPr="001D0371" w:rsidRDefault="004C1F46" w:rsidP="001D0371">
      <w:pPr>
        <w:adjustRightInd w:val="0"/>
        <w:snapToGrid w:val="0"/>
        <w:ind w:left="566" w:hangingChars="236" w:hanging="566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 xml:space="preserve">  1.公共服務及才藝傑出獎獎項積分審查。</w:t>
      </w:r>
    </w:p>
    <w:p w:rsidR="004C1F46" w:rsidRPr="001D0371" w:rsidRDefault="004C1F46" w:rsidP="001D0371">
      <w:pPr>
        <w:adjustRightInd w:val="0"/>
        <w:snapToGrid w:val="0"/>
        <w:ind w:left="425" w:hangingChars="177" w:hanging="425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 xml:space="preserve">  2.各班學習領域獎獎項名單</w:t>
      </w:r>
      <w:proofErr w:type="gramStart"/>
      <w:r w:rsidRPr="001D0371">
        <w:rPr>
          <w:rFonts w:ascii="標楷體" w:eastAsia="標楷體" w:hAnsi="標楷體" w:hint="eastAsia"/>
        </w:rPr>
        <w:t>複</w:t>
      </w:r>
      <w:proofErr w:type="gramEnd"/>
      <w:r w:rsidRPr="001D0371">
        <w:rPr>
          <w:rFonts w:ascii="標楷體" w:eastAsia="標楷體" w:hAnsi="標楷體" w:hint="eastAsia"/>
        </w:rPr>
        <w:t>審。</w:t>
      </w:r>
    </w:p>
    <w:p w:rsidR="004C1F46" w:rsidRPr="001D0371" w:rsidRDefault="004C1F46" w:rsidP="001D0371">
      <w:pPr>
        <w:adjustRightInd w:val="0"/>
        <w:snapToGrid w:val="0"/>
        <w:ind w:left="425" w:hangingChars="177" w:hanging="425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 xml:space="preserve">  3.修訂各學年度畢業生公共服務及才藝傑出獎評選實施計畫。</w:t>
      </w:r>
    </w:p>
    <w:p w:rsidR="004C1F46" w:rsidRPr="001D0371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（三）業務承辦單位：教務處。</w:t>
      </w:r>
    </w:p>
    <w:p w:rsidR="004C1F46" w:rsidRPr="001D0371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五、經費：由校內相關經費項下支應。</w:t>
      </w:r>
    </w:p>
    <w:p w:rsidR="0064532F" w:rsidRPr="001D0371" w:rsidRDefault="004C1F46" w:rsidP="001D0371">
      <w:pPr>
        <w:adjustRightInd w:val="0"/>
        <w:snapToGrid w:val="0"/>
        <w:contextualSpacing/>
        <w:rPr>
          <w:rFonts w:ascii="標楷體" w:eastAsia="標楷體" w:hAnsi="標楷體"/>
        </w:rPr>
      </w:pPr>
      <w:r w:rsidRPr="001D0371">
        <w:rPr>
          <w:rFonts w:ascii="標楷體" w:eastAsia="標楷體" w:hAnsi="標楷體" w:hint="eastAsia"/>
        </w:rPr>
        <w:t>六、本要點經校務會議通過後實施，修正時亦同。</w:t>
      </w:r>
    </w:p>
    <w:sectPr w:rsidR="0064532F" w:rsidRPr="001D0371" w:rsidSect="00B603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66" w:rsidRDefault="00081866" w:rsidP="0046680C">
      <w:r>
        <w:separator/>
      </w:r>
    </w:p>
  </w:endnote>
  <w:endnote w:type="continuationSeparator" w:id="0">
    <w:p w:rsidR="00081866" w:rsidRDefault="00081866" w:rsidP="0046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66" w:rsidRDefault="00081866" w:rsidP="0046680C">
      <w:r>
        <w:separator/>
      </w:r>
    </w:p>
  </w:footnote>
  <w:footnote w:type="continuationSeparator" w:id="0">
    <w:p w:rsidR="00081866" w:rsidRDefault="00081866" w:rsidP="0046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46"/>
    <w:rsid w:val="00045296"/>
    <w:rsid w:val="00051B02"/>
    <w:rsid w:val="00056A98"/>
    <w:rsid w:val="00062FC5"/>
    <w:rsid w:val="00081866"/>
    <w:rsid w:val="000C0004"/>
    <w:rsid w:val="00111B5C"/>
    <w:rsid w:val="00135175"/>
    <w:rsid w:val="001521B2"/>
    <w:rsid w:val="001634B8"/>
    <w:rsid w:val="001A0EAC"/>
    <w:rsid w:val="001A6C48"/>
    <w:rsid w:val="001D0371"/>
    <w:rsid w:val="001F6DE3"/>
    <w:rsid w:val="0020070C"/>
    <w:rsid w:val="00255F6C"/>
    <w:rsid w:val="002563C7"/>
    <w:rsid w:val="00256ED4"/>
    <w:rsid w:val="00291D72"/>
    <w:rsid w:val="002B11B5"/>
    <w:rsid w:val="002D29AA"/>
    <w:rsid w:val="00351CA9"/>
    <w:rsid w:val="003563C8"/>
    <w:rsid w:val="00360451"/>
    <w:rsid w:val="00376474"/>
    <w:rsid w:val="003A55E7"/>
    <w:rsid w:val="003D1130"/>
    <w:rsid w:val="00421F42"/>
    <w:rsid w:val="004407D5"/>
    <w:rsid w:val="00455B3F"/>
    <w:rsid w:val="0046680C"/>
    <w:rsid w:val="004669A2"/>
    <w:rsid w:val="0047514B"/>
    <w:rsid w:val="00490100"/>
    <w:rsid w:val="004B10D2"/>
    <w:rsid w:val="004B6D14"/>
    <w:rsid w:val="004B7E25"/>
    <w:rsid w:val="004C1F46"/>
    <w:rsid w:val="004D057A"/>
    <w:rsid w:val="004E16B9"/>
    <w:rsid w:val="00502DB9"/>
    <w:rsid w:val="00537957"/>
    <w:rsid w:val="006007C8"/>
    <w:rsid w:val="00604983"/>
    <w:rsid w:val="00617B94"/>
    <w:rsid w:val="0064532F"/>
    <w:rsid w:val="007055A7"/>
    <w:rsid w:val="00717DD3"/>
    <w:rsid w:val="007220F5"/>
    <w:rsid w:val="00722BB6"/>
    <w:rsid w:val="007927E6"/>
    <w:rsid w:val="008063E1"/>
    <w:rsid w:val="008A6624"/>
    <w:rsid w:val="00901002"/>
    <w:rsid w:val="00916E65"/>
    <w:rsid w:val="00926A02"/>
    <w:rsid w:val="00936DDE"/>
    <w:rsid w:val="00975B7C"/>
    <w:rsid w:val="009E5556"/>
    <w:rsid w:val="00A20814"/>
    <w:rsid w:val="00A24DFA"/>
    <w:rsid w:val="00A32CC6"/>
    <w:rsid w:val="00A9149E"/>
    <w:rsid w:val="00AC5AA4"/>
    <w:rsid w:val="00B4311A"/>
    <w:rsid w:val="00B54EF8"/>
    <w:rsid w:val="00B6030F"/>
    <w:rsid w:val="00B92759"/>
    <w:rsid w:val="00BF457A"/>
    <w:rsid w:val="00C37F45"/>
    <w:rsid w:val="00C4154E"/>
    <w:rsid w:val="00C852A5"/>
    <w:rsid w:val="00CC34E0"/>
    <w:rsid w:val="00CC6C38"/>
    <w:rsid w:val="00CD0725"/>
    <w:rsid w:val="00CE29D9"/>
    <w:rsid w:val="00CF779A"/>
    <w:rsid w:val="00D01833"/>
    <w:rsid w:val="00D10696"/>
    <w:rsid w:val="00D13F17"/>
    <w:rsid w:val="00D1566F"/>
    <w:rsid w:val="00D21A7C"/>
    <w:rsid w:val="00D21D70"/>
    <w:rsid w:val="00D317AF"/>
    <w:rsid w:val="00DB74E3"/>
    <w:rsid w:val="00DB7B84"/>
    <w:rsid w:val="00DD0FC3"/>
    <w:rsid w:val="00DE2911"/>
    <w:rsid w:val="00DF392A"/>
    <w:rsid w:val="00E019FC"/>
    <w:rsid w:val="00E7468A"/>
    <w:rsid w:val="00E92734"/>
    <w:rsid w:val="00EB0C08"/>
    <w:rsid w:val="00EE0D8F"/>
    <w:rsid w:val="00EE483A"/>
    <w:rsid w:val="00EE5CED"/>
    <w:rsid w:val="00F743B6"/>
    <w:rsid w:val="00FD57A9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93FE"/>
  <w15:docId w15:val="{0DA7DC6D-4AA7-4735-8CAC-F084A8CA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F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8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8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0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3337-42B7-478F-B809-61512F67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2022-08-31T09:31:00Z</cp:lastPrinted>
  <dcterms:created xsi:type="dcterms:W3CDTF">2025-08-20T01:37:00Z</dcterms:created>
  <dcterms:modified xsi:type="dcterms:W3CDTF">2025-08-20T02:12:00Z</dcterms:modified>
</cp:coreProperties>
</file>