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78" w:rsidRPr="00F332F0" w:rsidRDefault="006E7978" w:rsidP="00FF2C99">
      <w:pPr>
        <w:spacing w:line="400" w:lineRule="exact"/>
        <w:ind w:leftChars="-118" w:left="-283"/>
        <w:rPr>
          <w:rFonts w:ascii="標楷體" w:eastAsia="標楷體" w:hAnsi="標楷體" w:cs="新細明體"/>
          <w:kern w:val="0"/>
          <w:sz w:val="32"/>
        </w:rPr>
      </w:pPr>
      <w:r w:rsidRPr="00F332F0">
        <w:rPr>
          <w:rFonts w:ascii="標楷體" w:eastAsia="標楷體" w:hAnsi="標楷體" w:hint="eastAsia"/>
          <w:sz w:val="40"/>
          <w:szCs w:val="32"/>
        </w:rPr>
        <w:t>「行政院與所屬中央及地方各機關公務人員休假改進措施」第五點附表：國民旅遊卡特約商店業別及細項分類表修正對照表</w:t>
      </w:r>
    </w:p>
    <w:tbl>
      <w:tblPr>
        <w:tblW w:w="14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1097"/>
        <w:gridCol w:w="4105"/>
        <w:gridCol w:w="567"/>
        <w:gridCol w:w="1134"/>
        <w:gridCol w:w="3969"/>
        <w:gridCol w:w="3261"/>
      </w:tblGrid>
      <w:tr w:rsidR="000F502E" w:rsidRPr="000626AF" w:rsidTr="0016665C">
        <w:trPr>
          <w:trHeight w:val="20"/>
          <w:jc w:val="center"/>
        </w:trPr>
        <w:tc>
          <w:tcPr>
            <w:tcW w:w="5784" w:type="dxa"/>
            <w:gridSpan w:val="3"/>
            <w:vAlign w:val="center"/>
          </w:tcPr>
          <w:p w:rsidR="000F502E" w:rsidRPr="00AF6A9B" w:rsidRDefault="000F502E" w:rsidP="007A00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F6A9B">
              <w:rPr>
                <w:rFonts w:ascii="標楷體" w:eastAsia="標楷體" w:hAnsi="標楷體" w:cs="新細明體" w:hint="eastAsia"/>
                <w:kern w:val="0"/>
              </w:rPr>
              <w:t>修正規定</w:t>
            </w:r>
          </w:p>
        </w:tc>
        <w:tc>
          <w:tcPr>
            <w:tcW w:w="5670" w:type="dxa"/>
            <w:gridSpan w:val="3"/>
            <w:vAlign w:val="center"/>
          </w:tcPr>
          <w:p w:rsidR="000F502E" w:rsidRPr="000626AF" w:rsidRDefault="000F502E" w:rsidP="007A0047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F6A9B">
              <w:rPr>
                <w:rFonts w:ascii="標楷體" w:eastAsia="標楷體" w:hAnsi="標楷體" w:cs="新細明體" w:hint="eastAsia"/>
                <w:kern w:val="0"/>
              </w:rPr>
              <w:t>現行規定</w:t>
            </w:r>
          </w:p>
        </w:tc>
        <w:tc>
          <w:tcPr>
            <w:tcW w:w="3261" w:type="dxa"/>
            <w:vMerge w:val="restart"/>
            <w:vAlign w:val="center"/>
          </w:tcPr>
          <w:p w:rsidR="000F502E" w:rsidRPr="000626AF" w:rsidRDefault="000F502E" w:rsidP="007A0047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</w:tr>
      <w:tr w:rsidR="000F502E" w:rsidRPr="000626AF" w:rsidTr="009D62A6">
        <w:trPr>
          <w:trHeight w:val="20"/>
          <w:jc w:val="center"/>
        </w:trPr>
        <w:tc>
          <w:tcPr>
            <w:tcW w:w="1679" w:type="dxa"/>
            <w:gridSpan w:val="2"/>
            <w:vAlign w:val="center"/>
          </w:tcPr>
          <w:p w:rsidR="000F502E" w:rsidRPr="000626AF" w:rsidRDefault="000F502E" w:rsidP="007A0047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業  別</w:t>
            </w: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F502E" w:rsidRPr="000626AF" w:rsidRDefault="000F502E" w:rsidP="007A0047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細項分類</w:t>
            </w:r>
          </w:p>
        </w:tc>
        <w:tc>
          <w:tcPr>
            <w:tcW w:w="1701" w:type="dxa"/>
            <w:gridSpan w:val="2"/>
            <w:vAlign w:val="center"/>
          </w:tcPr>
          <w:p w:rsidR="000F502E" w:rsidRPr="000626AF" w:rsidRDefault="000F502E" w:rsidP="007A0047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業  別</w:t>
            </w:r>
          </w:p>
        </w:tc>
        <w:tc>
          <w:tcPr>
            <w:tcW w:w="3969" w:type="dxa"/>
            <w:vAlign w:val="center"/>
          </w:tcPr>
          <w:p w:rsidR="000F502E" w:rsidRPr="000626AF" w:rsidRDefault="000F502E" w:rsidP="007A0047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細項分類</w:t>
            </w:r>
          </w:p>
        </w:tc>
        <w:tc>
          <w:tcPr>
            <w:tcW w:w="3261" w:type="dxa"/>
            <w:vMerge/>
          </w:tcPr>
          <w:p w:rsidR="000F502E" w:rsidRPr="000626AF" w:rsidRDefault="000F502E" w:rsidP="007A004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7A0047" w:rsidRPr="000626AF" w:rsidTr="0016665C">
        <w:trPr>
          <w:cantSplit/>
          <w:trHeight w:val="20"/>
          <w:jc w:val="center"/>
        </w:trPr>
        <w:tc>
          <w:tcPr>
            <w:tcW w:w="58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</w:tcPr>
          <w:p w:rsidR="007A0047" w:rsidRPr="00EE0739" w:rsidRDefault="007A0047" w:rsidP="007A0047">
            <w:pPr>
              <w:widowControl/>
              <w:spacing w:line="320" w:lineRule="exact"/>
              <w:ind w:left="113" w:right="113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旅遊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業別</w:t>
            </w:r>
          </w:p>
        </w:tc>
        <w:tc>
          <w:tcPr>
            <w:tcW w:w="1097" w:type="dxa"/>
          </w:tcPr>
          <w:p w:rsidR="007A0047" w:rsidRPr="000626AF" w:rsidRDefault="007A0047" w:rsidP="007A0047">
            <w:pPr>
              <w:widowControl/>
              <w:spacing w:line="32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旅行業</w:t>
            </w: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旅行社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ind w:left="113" w:right="113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</w:t>
            </w:r>
            <w:r w:rsidRPr="00EE0739">
              <w:rPr>
                <w:rFonts w:ascii="標楷體" w:eastAsia="標楷體" w:hAnsi="標楷體" w:cs="新細明體" w:hint="eastAsia"/>
                <w:kern w:val="0"/>
                <w:u w:val="single"/>
              </w:rPr>
              <w:t>休閒及藝文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業別</w:t>
            </w:r>
          </w:p>
        </w:tc>
        <w:tc>
          <w:tcPr>
            <w:tcW w:w="1134" w:type="dxa"/>
          </w:tcPr>
          <w:p w:rsidR="007A0047" w:rsidRPr="000626AF" w:rsidRDefault="007A0047" w:rsidP="007A0047">
            <w:pPr>
              <w:widowControl/>
              <w:spacing w:line="32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旅行業</w:t>
            </w:r>
          </w:p>
        </w:tc>
        <w:tc>
          <w:tcPr>
            <w:tcW w:w="3969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旅行社</w:t>
            </w:r>
          </w:p>
        </w:tc>
        <w:tc>
          <w:tcPr>
            <w:tcW w:w="3261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未修正</w:t>
            </w:r>
          </w:p>
        </w:tc>
      </w:tr>
      <w:tr w:rsidR="007A0047" w:rsidRPr="000626AF" w:rsidTr="0016665C">
        <w:trPr>
          <w:cantSplit/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</w:t>
            </w: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旅宿業、民宿業、郵購(網購)旅館、一般旅館業、觀光旅館業、其他住宿服務業</w:t>
            </w: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</w:t>
            </w:r>
          </w:p>
        </w:tc>
        <w:tc>
          <w:tcPr>
            <w:tcW w:w="3969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旅宿業、民宿業、郵購(網購)旅館、一般旅館業、觀光旅館業、其他住宿服務業</w:t>
            </w:r>
          </w:p>
        </w:tc>
        <w:tc>
          <w:tcPr>
            <w:tcW w:w="3261" w:type="dxa"/>
          </w:tcPr>
          <w:p w:rsidR="007A0047" w:rsidRDefault="007A0047" w:rsidP="007A0047">
            <w:pPr>
              <w:spacing w:line="320" w:lineRule="exact"/>
            </w:pPr>
            <w:r w:rsidRPr="00296679">
              <w:rPr>
                <w:rFonts w:ascii="標楷體" w:eastAsia="標楷體" w:hAnsi="標楷體" w:cs="新細明體" w:hint="eastAsia"/>
                <w:kern w:val="0"/>
              </w:rPr>
              <w:t>未修正</w:t>
            </w:r>
          </w:p>
        </w:tc>
      </w:tr>
      <w:tr w:rsidR="007A0047" w:rsidRPr="000626AF" w:rsidTr="0016665C">
        <w:trPr>
          <w:cantSplit/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</w:t>
            </w: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觀光遊樂業、遊樂園業、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森林遊樂業、休閒農場(園)、觀光果(茶)園、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生態教育農園、其他觀光遊樂業</w:t>
            </w: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</w:t>
            </w:r>
          </w:p>
        </w:tc>
        <w:tc>
          <w:tcPr>
            <w:tcW w:w="3969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觀光遊樂業、遊樂園業、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森林遊樂業、休閒農場(園)、觀光果(茶)園、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生態教育農園、其他觀光遊樂業</w:t>
            </w:r>
          </w:p>
        </w:tc>
        <w:tc>
          <w:tcPr>
            <w:tcW w:w="3261" w:type="dxa"/>
          </w:tcPr>
          <w:p w:rsidR="007A0047" w:rsidRDefault="007A0047" w:rsidP="007A0047">
            <w:pPr>
              <w:spacing w:line="320" w:lineRule="exact"/>
            </w:pPr>
            <w:r w:rsidRPr="00296679">
              <w:rPr>
                <w:rFonts w:ascii="標楷體" w:eastAsia="標楷體" w:hAnsi="標楷體" w:cs="新細明體" w:hint="eastAsia"/>
                <w:kern w:val="0"/>
              </w:rPr>
              <w:t>未修正</w:t>
            </w:r>
          </w:p>
        </w:tc>
      </w:tr>
      <w:tr w:rsidR="007A0047" w:rsidRPr="000626AF" w:rsidTr="0016665C">
        <w:trPr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藝文圖書業</w:t>
            </w:r>
          </w:p>
        </w:tc>
        <w:tc>
          <w:tcPr>
            <w:tcW w:w="3969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書店、博物館、美術館、畫廊、藝廊、音樂會、戲劇、舞蹈、</w:t>
            </w:r>
            <w:r w:rsidRPr="00026546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郵購(網購)藝文展演</w:t>
            </w:r>
          </w:p>
        </w:tc>
        <w:tc>
          <w:tcPr>
            <w:tcW w:w="3261" w:type="dxa"/>
          </w:tcPr>
          <w:p w:rsidR="007A0047" w:rsidRPr="00650F97" w:rsidRDefault="007A0047" w:rsidP="002C5BC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為適度鬆綁國民旅遊卡業別管制，以活絡內需市場，爰以概括方式增列「</w:t>
            </w:r>
            <w:r w:rsidR="002C5BC8">
              <w:rPr>
                <w:rFonts w:ascii="標楷體" w:eastAsia="標楷體" w:hAnsi="標楷體" w:cs="新細明體" w:hint="eastAsia"/>
                <w:kern w:val="0"/>
              </w:rPr>
              <w:t>其他</w:t>
            </w:r>
            <w:r>
              <w:rPr>
                <w:rFonts w:ascii="標楷體" w:eastAsia="標楷體" w:hAnsi="標楷體" w:cs="新細明體" w:hint="eastAsia"/>
                <w:kern w:val="0"/>
              </w:rPr>
              <w:t>業別」，並刪除本業別及細項分類。</w:t>
            </w:r>
          </w:p>
        </w:tc>
      </w:tr>
      <w:tr w:rsidR="007A0047" w:rsidRPr="000626AF" w:rsidTr="0016665C">
        <w:trPr>
          <w:cantSplit/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</w:t>
            </w: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交通運輸業、停車場業</w:t>
            </w:r>
            <w:r w:rsidRPr="000626AF">
              <w:rPr>
                <w:rFonts w:ascii="標楷體" w:eastAsia="標楷體" w:hAnsi="標楷體" w:cs="新細明體" w:hint="eastAsia"/>
                <w:color w:val="C0C0C0"/>
                <w:kern w:val="0"/>
              </w:rPr>
              <w:t>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交通工具租賃業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、民用航空運輸業、海洋水運業、一般汽車客運業、計程車、鐵路運輸業、郵購(網購)交通運輸業、其他運輸輔助業</w:t>
            </w: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</w:t>
            </w:r>
          </w:p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  <w:tc>
          <w:tcPr>
            <w:tcW w:w="3969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交通運輸業、停車場業</w:t>
            </w:r>
            <w:r w:rsidRPr="000626AF">
              <w:rPr>
                <w:rFonts w:ascii="標楷體" w:eastAsia="標楷體" w:hAnsi="標楷體" w:cs="新細明體" w:hint="eastAsia"/>
                <w:color w:val="C0C0C0"/>
                <w:kern w:val="0"/>
              </w:rPr>
              <w:t>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交通工具租賃業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、民用航空運輸業、海洋水運業、一般汽車客運業、計程車、鐵路運輸業、郵購(網購)交通運輸業、其他運輸輔助業</w:t>
            </w:r>
          </w:p>
        </w:tc>
        <w:tc>
          <w:tcPr>
            <w:tcW w:w="3261" w:type="dxa"/>
          </w:tcPr>
          <w:p w:rsidR="007A0047" w:rsidRDefault="007A0047" w:rsidP="007A0047">
            <w:pPr>
              <w:spacing w:line="320" w:lineRule="exact"/>
            </w:pPr>
            <w:r w:rsidRPr="00296679">
              <w:rPr>
                <w:rFonts w:ascii="標楷體" w:eastAsia="標楷體" w:hAnsi="標楷體" w:cs="新細明體" w:hint="eastAsia"/>
                <w:kern w:val="0"/>
              </w:rPr>
              <w:t>未修正</w:t>
            </w:r>
          </w:p>
        </w:tc>
      </w:tr>
      <w:tr w:rsidR="007A0047" w:rsidRPr="000626AF" w:rsidTr="0016665C">
        <w:trPr>
          <w:cantSplit/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餐飲業</w:t>
            </w:r>
          </w:p>
        </w:tc>
        <w:tc>
          <w:tcPr>
            <w:tcW w:w="3969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餐飲業、飲料店業、餐館業</w:t>
            </w:r>
          </w:p>
        </w:tc>
        <w:tc>
          <w:tcPr>
            <w:tcW w:w="3261" w:type="dxa"/>
            <w:vMerge w:val="restart"/>
          </w:tcPr>
          <w:p w:rsidR="007A0047" w:rsidRDefault="007A0047" w:rsidP="002C5BC8">
            <w:pPr>
              <w:spacing w:line="320" w:lineRule="exact"/>
              <w:jc w:val="both"/>
            </w:pPr>
            <w:r>
              <w:rPr>
                <w:rFonts w:ascii="標楷體" w:eastAsia="標楷體" w:hAnsi="標楷體" w:cs="新細明體" w:hint="eastAsia"/>
                <w:kern w:val="0"/>
              </w:rPr>
              <w:t>為適度鬆綁國民旅遊卡業別管制，以活絡內需市場，爰以概括方式增列「</w:t>
            </w:r>
            <w:r w:rsidR="002C5BC8">
              <w:rPr>
                <w:rFonts w:ascii="標楷體" w:eastAsia="標楷體" w:hAnsi="標楷體" w:cs="新細明體" w:hint="eastAsia"/>
                <w:kern w:val="0"/>
              </w:rPr>
              <w:t>其他</w:t>
            </w:r>
            <w:r>
              <w:rPr>
                <w:rFonts w:ascii="標楷體" w:eastAsia="標楷體" w:hAnsi="標楷體" w:cs="新細明體" w:hint="eastAsia"/>
                <w:kern w:val="0"/>
              </w:rPr>
              <w:t>業別」，並刪除本業別及細項分類。</w:t>
            </w:r>
          </w:p>
        </w:tc>
      </w:tr>
      <w:tr w:rsidR="007A0047" w:rsidRPr="000626AF" w:rsidTr="0016665C">
        <w:trPr>
          <w:cantSplit/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26546" w:rsidRDefault="007A0047" w:rsidP="007A004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農特產及手工藝品業</w:t>
            </w:r>
          </w:p>
        </w:tc>
        <w:tc>
          <w:tcPr>
            <w:tcW w:w="3969" w:type="dxa"/>
          </w:tcPr>
          <w:p w:rsidR="007A0047" w:rsidRPr="00026546" w:rsidRDefault="007A0047" w:rsidP="007A004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農特產及手工藝品業、其他農畜水產品零售業、其他木製品製造業、其他農事服務業</w:t>
            </w:r>
          </w:p>
        </w:tc>
        <w:tc>
          <w:tcPr>
            <w:tcW w:w="3261" w:type="dxa"/>
            <w:vMerge/>
          </w:tcPr>
          <w:p w:rsidR="007A0047" w:rsidRDefault="007A0047" w:rsidP="007A0047">
            <w:pPr>
              <w:spacing w:line="320" w:lineRule="exact"/>
            </w:pPr>
          </w:p>
        </w:tc>
      </w:tr>
      <w:tr w:rsidR="007A0047" w:rsidRPr="000626AF" w:rsidTr="0016665C">
        <w:trPr>
          <w:cantSplit/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加油站</w:t>
            </w:r>
          </w:p>
        </w:tc>
        <w:tc>
          <w:tcPr>
            <w:tcW w:w="3969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加油站業</w:t>
            </w:r>
          </w:p>
        </w:tc>
        <w:tc>
          <w:tcPr>
            <w:tcW w:w="3261" w:type="dxa"/>
            <w:vMerge/>
          </w:tcPr>
          <w:p w:rsidR="007A0047" w:rsidRDefault="007A0047" w:rsidP="007A0047">
            <w:pPr>
              <w:spacing w:line="320" w:lineRule="exact"/>
            </w:pPr>
          </w:p>
        </w:tc>
      </w:tr>
      <w:tr w:rsidR="007A0047" w:rsidRPr="000626AF" w:rsidTr="0016665C">
        <w:trPr>
          <w:cantSplit/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體育用品</w:t>
            </w:r>
          </w:p>
        </w:tc>
        <w:tc>
          <w:tcPr>
            <w:tcW w:w="3969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體育用品業、體育用品器材零售業、自行車專賣店</w:t>
            </w:r>
          </w:p>
        </w:tc>
        <w:tc>
          <w:tcPr>
            <w:tcW w:w="3261" w:type="dxa"/>
            <w:vMerge/>
          </w:tcPr>
          <w:p w:rsidR="007A0047" w:rsidRDefault="007A0047" w:rsidP="007A0047">
            <w:pPr>
              <w:spacing w:line="320" w:lineRule="exact"/>
            </w:pPr>
          </w:p>
        </w:tc>
      </w:tr>
      <w:tr w:rsidR="007A0047" w:rsidRPr="000626AF" w:rsidTr="0016665C">
        <w:trPr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7A0047" w:rsidRPr="000626AF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其他觀光服務業</w:t>
            </w:r>
          </w:p>
        </w:tc>
        <w:tc>
          <w:tcPr>
            <w:tcW w:w="3969" w:type="dxa"/>
          </w:tcPr>
          <w:p w:rsidR="007A0047" w:rsidRPr="00026546" w:rsidRDefault="007A0047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運動場館、身心障礙者福利服務業、攝影器材及沖洗專賣店、未分類其他服務業（輪胎及汽車維修）、未分類其他零售業（MIT微笑協力專賣店）</w:t>
            </w:r>
          </w:p>
        </w:tc>
        <w:tc>
          <w:tcPr>
            <w:tcW w:w="3261" w:type="dxa"/>
            <w:vMerge/>
          </w:tcPr>
          <w:p w:rsidR="007A0047" w:rsidRDefault="007A0047" w:rsidP="007A0047">
            <w:pPr>
              <w:spacing w:line="320" w:lineRule="exact"/>
            </w:pPr>
          </w:p>
        </w:tc>
      </w:tr>
      <w:tr w:rsidR="00EE0739" w:rsidRPr="000626AF" w:rsidTr="00B57A45">
        <w:trPr>
          <w:trHeight w:val="20"/>
          <w:jc w:val="center"/>
        </w:trPr>
        <w:tc>
          <w:tcPr>
            <w:tcW w:w="58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E0739" w:rsidRPr="00AF6A9B" w:rsidRDefault="00EE0739" w:rsidP="00B57A45">
            <w:pPr>
              <w:widowControl/>
              <w:spacing w:line="320" w:lineRule="exact"/>
              <w:ind w:left="113" w:right="113"/>
              <w:rPr>
                <w:rFonts w:ascii="標楷體" w:eastAsia="標楷體" w:hAnsi="標楷體" w:cs="新細明體"/>
                <w:kern w:val="0"/>
              </w:rPr>
            </w:pPr>
            <w:r w:rsidRPr="0042653E">
              <w:rPr>
                <w:rFonts w:ascii="標楷體" w:eastAsia="標楷體" w:hAnsi="標楷體" w:cs="新細明體" w:hint="eastAsia"/>
                <w:kern w:val="0"/>
                <w:u w:val="single"/>
              </w:rPr>
              <w:t>商圈業別</w:t>
            </w:r>
          </w:p>
        </w:tc>
        <w:tc>
          <w:tcPr>
            <w:tcW w:w="1134" w:type="dxa"/>
          </w:tcPr>
          <w:p w:rsidR="00EE0739" w:rsidRPr="00026546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服飾業</w:t>
            </w:r>
          </w:p>
        </w:tc>
        <w:tc>
          <w:tcPr>
            <w:tcW w:w="3969" w:type="dxa"/>
          </w:tcPr>
          <w:p w:rsidR="00EE0739" w:rsidRPr="00026546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服飾業、成衣零售業</w:t>
            </w:r>
          </w:p>
        </w:tc>
        <w:tc>
          <w:tcPr>
            <w:tcW w:w="3261" w:type="dxa"/>
            <w:vMerge w:val="restart"/>
          </w:tcPr>
          <w:p w:rsidR="00EE0739" w:rsidRDefault="00EE0739" w:rsidP="007A0047">
            <w:pPr>
              <w:spacing w:line="320" w:lineRule="exact"/>
              <w:jc w:val="both"/>
            </w:pPr>
            <w:r>
              <w:rPr>
                <w:rFonts w:ascii="標楷體" w:eastAsia="標楷體" w:hAnsi="標楷體" w:cs="新細明體" w:hint="eastAsia"/>
                <w:kern w:val="0"/>
              </w:rPr>
              <w:t>為適度鬆綁國民旅遊卡業別管制，以活絡內需市場，放寬不再區分商圈內或商圈外，各行業別均得成為特約商店，爰刪除本業別及細項分類。</w:t>
            </w:r>
          </w:p>
        </w:tc>
      </w:tr>
      <w:tr w:rsidR="00EE0739" w:rsidRPr="000626AF" w:rsidTr="0016665C">
        <w:trPr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EE0739" w:rsidRPr="00026546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皮鞋皮件業</w:t>
            </w:r>
          </w:p>
        </w:tc>
        <w:tc>
          <w:tcPr>
            <w:tcW w:w="3969" w:type="dxa"/>
          </w:tcPr>
          <w:p w:rsidR="00EE0739" w:rsidRPr="00026546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皮鞋皮件業、服飾配件零售業</w:t>
            </w:r>
          </w:p>
        </w:tc>
        <w:tc>
          <w:tcPr>
            <w:tcW w:w="3261" w:type="dxa"/>
            <w:vMerge/>
          </w:tcPr>
          <w:p w:rsidR="00EE0739" w:rsidRDefault="00EE0739" w:rsidP="007A0047">
            <w:pPr>
              <w:spacing w:line="320" w:lineRule="exact"/>
            </w:pPr>
          </w:p>
        </w:tc>
      </w:tr>
      <w:tr w:rsidR="00EE0739" w:rsidRPr="000626AF" w:rsidTr="0016665C">
        <w:trPr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</w:tcPr>
          <w:p w:rsidR="00EE0739" w:rsidRPr="00026546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美容護膚業</w:t>
            </w:r>
          </w:p>
        </w:tc>
        <w:tc>
          <w:tcPr>
            <w:tcW w:w="3969" w:type="dxa"/>
          </w:tcPr>
          <w:p w:rsidR="00EE0739" w:rsidRPr="00026546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美容護膚業、化妝品零售業</w:t>
            </w:r>
          </w:p>
        </w:tc>
        <w:tc>
          <w:tcPr>
            <w:tcW w:w="3261" w:type="dxa"/>
            <w:vMerge/>
          </w:tcPr>
          <w:p w:rsidR="00EE0739" w:rsidRDefault="00EE0739" w:rsidP="007A0047">
            <w:pPr>
              <w:spacing w:line="320" w:lineRule="exact"/>
            </w:pPr>
          </w:p>
        </w:tc>
      </w:tr>
      <w:tr w:rsidR="00EE0739" w:rsidRPr="000626AF" w:rsidTr="0016665C">
        <w:trPr>
          <w:trHeight w:val="20"/>
          <w:jc w:val="center"/>
        </w:trPr>
        <w:tc>
          <w:tcPr>
            <w:tcW w:w="582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97" w:type="dxa"/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EE0739" w:rsidRPr="000626AF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EE0739" w:rsidRPr="00026546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商圈其他業別</w:t>
            </w:r>
          </w:p>
        </w:tc>
        <w:tc>
          <w:tcPr>
            <w:tcW w:w="3969" w:type="dxa"/>
          </w:tcPr>
          <w:p w:rsidR="00EE0739" w:rsidRPr="00026546" w:rsidRDefault="00EE0739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</w:pPr>
            <w:r w:rsidRPr="00026546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  <w:tc>
          <w:tcPr>
            <w:tcW w:w="3261" w:type="dxa"/>
            <w:vMerge/>
          </w:tcPr>
          <w:p w:rsidR="00EE0739" w:rsidRDefault="00EE0739" w:rsidP="007A0047">
            <w:pPr>
              <w:spacing w:line="320" w:lineRule="exact"/>
            </w:pPr>
          </w:p>
        </w:tc>
      </w:tr>
      <w:tr w:rsidR="000F502E" w:rsidRPr="000626AF" w:rsidTr="0016665C">
        <w:trPr>
          <w:trHeight w:val="20"/>
          <w:jc w:val="center"/>
        </w:trPr>
        <w:tc>
          <w:tcPr>
            <w:tcW w:w="167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F502E" w:rsidRPr="00026546" w:rsidRDefault="002C5BC8" w:rsidP="002C5BC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其他業</w:t>
            </w:r>
            <w:r w:rsidR="000F502E" w:rsidRPr="00026546">
              <w:rPr>
                <w:rFonts w:ascii="標楷體" w:eastAsia="標楷體" w:hAnsi="標楷體" w:cs="新細明體" w:hint="eastAsia"/>
                <w:kern w:val="0"/>
                <w:u w:val="single"/>
              </w:rPr>
              <w:t>別</w:t>
            </w:r>
          </w:p>
        </w:tc>
        <w:tc>
          <w:tcPr>
            <w:tcW w:w="410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F502E" w:rsidRPr="00026546" w:rsidRDefault="002C5BC8" w:rsidP="000531F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指除觀光旅遊業別、珠寶銀樓及「公務員廉政倫理規範」第</w:t>
            </w:r>
            <w:r w:rsidR="000531F8">
              <w:rPr>
                <w:rFonts w:ascii="標楷體" w:eastAsia="標楷體" w:hAnsi="標楷體" w:cs="新細明體" w:hint="eastAsia"/>
                <w:kern w:val="0"/>
                <w:u w:val="single"/>
              </w:rPr>
              <w:t>八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點所稱不妥當場所外之各行業別</w:t>
            </w:r>
          </w:p>
        </w:tc>
        <w:tc>
          <w:tcPr>
            <w:tcW w:w="567" w:type="dxa"/>
            <w:vAlign w:val="center"/>
          </w:tcPr>
          <w:p w:rsidR="000F502E" w:rsidRPr="000626AF" w:rsidRDefault="000F502E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1134" w:type="dxa"/>
          </w:tcPr>
          <w:p w:rsidR="000F502E" w:rsidRPr="000626AF" w:rsidRDefault="000F502E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3969" w:type="dxa"/>
          </w:tcPr>
          <w:p w:rsidR="000F502E" w:rsidRPr="000626AF" w:rsidRDefault="000F502E" w:rsidP="007A0047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3261" w:type="dxa"/>
          </w:tcPr>
          <w:p w:rsidR="004204DD" w:rsidRDefault="0089612B" w:rsidP="00D80860">
            <w:pPr>
              <w:numPr>
                <w:ilvl w:val="0"/>
                <w:numId w:val="9"/>
              </w:numPr>
              <w:spacing w:line="320" w:lineRule="exact"/>
              <w:ind w:left="284" w:hanging="284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為適度鬆綁國民旅遊卡業別管制，以活絡內需市場，爰以概括方式增列「</w:t>
            </w:r>
            <w:r w:rsidR="002C5BC8">
              <w:rPr>
                <w:rFonts w:ascii="標楷體" w:eastAsia="標楷體" w:hAnsi="標楷體" w:cs="新細明體" w:hint="eastAsia"/>
                <w:kern w:val="0"/>
              </w:rPr>
              <w:t>其他</w:t>
            </w:r>
            <w:r>
              <w:rPr>
                <w:rFonts w:ascii="標楷體" w:eastAsia="標楷體" w:hAnsi="標楷體" w:cs="新細明體" w:hint="eastAsia"/>
                <w:kern w:val="0"/>
              </w:rPr>
              <w:t>業別」。</w:t>
            </w:r>
          </w:p>
          <w:p w:rsidR="00D80860" w:rsidRDefault="00D80860" w:rsidP="00D80860">
            <w:pPr>
              <w:numPr>
                <w:ilvl w:val="0"/>
                <w:numId w:val="9"/>
              </w:numPr>
              <w:spacing w:line="320" w:lineRule="exact"/>
              <w:ind w:left="284" w:hanging="284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9612B">
              <w:rPr>
                <w:rFonts w:ascii="標楷體" w:eastAsia="標楷體" w:hAnsi="標楷體" w:cs="新細明體" w:hint="eastAsia"/>
                <w:kern w:val="0"/>
              </w:rPr>
              <w:t>珠寶銀樓</w:t>
            </w:r>
            <w:r>
              <w:rPr>
                <w:rFonts w:ascii="標楷體" w:eastAsia="標楷體" w:hAnsi="標楷體" w:cs="新細明體" w:hint="eastAsia"/>
                <w:kern w:val="0"/>
              </w:rPr>
              <w:t>前因</w:t>
            </w:r>
            <w:r w:rsidRPr="0089612B">
              <w:rPr>
                <w:rFonts w:ascii="標楷體" w:eastAsia="標楷體" w:hAnsi="標楷體" w:cs="新細明體" w:hint="eastAsia"/>
                <w:kern w:val="0"/>
              </w:rPr>
              <w:t>屢遭檢舉有刷卡換現金之情事，自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九十二</w:t>
            </w: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七</w:t>
            </w:r>
            <w:r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</w:rPr>
              <w:t>日起已</w:t>
            </w:r>
            <w:r w:rsidRPr="0089612B">
              <w:rPr>
                <w:rFonts w:ascii="標楷體" w:eastAsia="標楷體" w:hAnsi="標楷體" w:cs="新細明體" w:hint="eastAsia"/>
                <w:kern w:val="0"/>
              </w:rPr>
              <w:t>不再</w:t>
            </w:r>
            <w:r>
              <w:rPr>
                <w:rFonts w:ascii="標楷體" w:eastAsia="標楷體" w:hAnsi="標楷體" w:cs="新細明體" w:hint="eastAsia"/>
                <w:kern w:val="0"/>
              </w:rPr>
              <w:t>列為國旅卡特約商店，爰予以排除。</w:t>
            </w:r>
          </w:p>
          <w:p w:rsidR="00D80860" w:rsidRPr="00D80860" w:rsidRDefault="00D80860" w:rsidP="00F332F0">
            <w:pPr>
              <w:numPr>
                <w:ilvl w:val="0"/>
                <w:numId w:val="9"/>
              </w:numPr>
              <w:spacing w:line="320" w:lineRule="exact"/>
              <w:ind w:left="284" w:hanging="284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C6231">
              <w:rPr>
                <w:rFonts w:ascii="標楷體" w:eastAsia="標楷體" w:hAnsi="標楷體" w:cs="新細明體" w:hint="eastAsia"/>
                <w:kern w:val="0"/>
              </w:rPr>
              <w:lastRenderedPageBreak/>
              <w:t>依公務員廉政倫理規範第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八</w:t>
            </w:r>
            <w:r w:rsidRPr="008C6231">
              <w:rPr>
                <w:rFonts w:ascii="標楷體" w:eastAsia="標楷體" w:hAnsi="標楷體" w:cs="新細明體" w:hint="eastAsia"/>
                <w:kern w:val="0"/>
              </w:rPr>
              <w:t>點規定公務員不得涉足不妥當之場所，爰排除上開場所。另公務員廉政倫理規範第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八</w:t>
            </w:r>
            <w:r w:rsidRPr="008C6231">
              <w:rPr>
                <w:rFonts w:ascii="標楷體" w:eastAsia="標楷體" w:hAnsi="標楷體" w:cs="新細明體" w:hint="eastAsia"/>
                <w:kern w:val="0"/>
              </w:rPr>
              <w:t>點之立法說明略以，「不妥當場所」為不確定概念，除參酌內政部警政署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八十五</w:t>
            </w:r>
            <w:r w:rsidRPr="008C6231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8C6231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二十二</w:t>
            </w:r>
            <w:r w:rsidRPr="008C6231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八五</w:t>
            </w:r>
            <w:r w:rsidRPr="008C6231">
              <w:rPr>
                <w:rFonts w:ascii="標楷體" w:eastAsia="標楷體" w:hAnsi="標楷體" w:cs="新細明體" w:hint="eastAsia"/>
                <w:kern w:val="0"/>
              </w:rPr>
              <w:t>警署督字第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四八四六</w:t>
            </w:r>
            <w:r w:rsidRPr="008C6231">
              <w:rPr>
                <w:rFonts w:ascii="標楷體" w:eastAsia="標楷體" w:hAnsi="標楷體" w:cs="新細明體" w:hint="eastAsia"/>
                <w:kern w:val="0"/>
              </w:rPr>
              <w:t>號函所列範圍，並以涉足之公務員有無實際不妥行為為認定標準。</w:t>
            </w:r>
          </w:p>
        </w:tc>
      </w:tr>
      <w:tr w:rsidR="000F502E" w:rsidRPr="000626AF" w:rsidTr="00D80860">
        <w:trPr>
          <w:trHeight w:val="20"/>
          <w:jc w:val="center"/>
        </w:trPr>
        <w:tc>
          <w:tcPr>
            <w:tcW w:w="5784" w:type="dxa"/>
            <w:gridSpan w:val="3"/>
          </w:tcPr>
          <w:p w:rsidR="008F286E" w:rsidRPr="00D80860" w:rsidRDefault="008F286E" w:rsidP="00D80860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D80860">
              <w:rPr>
                <w:rFonts w:ascii="標楷體" w:eastAsia="標楷體" w:hAnsi="標楷體"/>
              </w:rPr>
              <w:lastRenderedPageBreak/>
              <w:t>附註：</w:t>
            </w:r>
          </w:p>
          <w:p w:rsidR="008F286E" w:rsidRPr="00D80860" w:rsidRDefault="008F286E" w:rsidP="00D80860">
            <w:pPr>
              <w:pStyle w:val="a9"/>
              <w:numPr>
                <w:ilvl w:val="0"/>
                <w:numId w:val="5"/>
              </w:numPr>
              <w:spacing w:line="320" w:lineRule="exact"/>
              <w:ind w:left="764" w:hanging="284"/>
              <w:jc w:val="both"/>
              <w:rPr>
                <w:rFonts w:ascii="標楷體" w:eastAsia="標楷體" w:hAnsi="標楷體" w:hint="eastAsia"/>
              </w:rPr>
            </w:pPr>
            <w:r w:rsidRPr="00D80860">
              <w:rPr>
                <w:rFonts w:ascii="標楷體" w:eastAsia="標楷體" w:hAnsi="標楷體"/>
              </w:rPr>
              <w:t>各行業別之刷卡消費均核實補助。</w:t>
            </w:r>
          </w:p>
          <w:p w:rsidR="000F502E" w:rsidRPr="00D80860" w:rsidRDefault="008F286E" w:rsidP="00C06C99">
            <w:pPr>
              <w:pStyle w:val="a9"/>
              <w:numPr>
                <w:ilvl w:val="0"/>
                <w:numId w:val="5"/>
              </w:numPr>
              <w:spacing w:line="320" w:lineRule="exact"/>
              <w:ind w:left="764" w:hanging="284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D80860">
              <w:rPr>
                <w:rFonts w:ascii="標楷體" w:eastAsia="標楷體" w:hAnsi="標楷體" w:hint="eastAsia"/>
                <w:u w:val="single"/>
              </w:rPr>
              <w:t>儲值性商品不得列入補助範圍。</w:t>
            </w:r>
          </w:p>
        </w:tc>
        <w:tc>
          <w:tcPr>
            <w:tcW w:w="5670" w:type="dxa"/>
            <w:gridSpan w:val="3"/>
          </w:tcPr>
          <w:p w:rsidR="000F502E" w:rsidRDefault="000F502E" w:rsidP="00D80860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附註：</w:t>
            </w:r>
          </w:p>
          <w:p w:rsidR="000F502E" w:rsidRPr="000F502E" w:rsidRDefault="000F502E" w:rsidP="00D80860">
            <w:pPr>
              <w:spacing w:line="320" w:lineRule="exact"/>
              <w:ind w:leftChars="200" w:left="480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F286E">
              <w:rPr>
                <w:rFonts w:ascii="標楷體" w:eastAsia="標楷體" w:hAnsi="標楷體" w:hint="eastAsia"/>
              </w:rPr>
              <w:t>1.</w:t>
            </w:r>
            <w:r w:rsidRPr="000F502E">
              <w:rPr>
                <w:rFonts w:ascii="標楷體" w:eastAsia="標楷體" w:hAnsi="標楷體" w:hint="eastAsia"/>
              </w:rPr>
              <w:t>各行業別之刷卡消費均核實補助。</w:t>
            </w:r>
          </w:p>
          <w:p w:rsidR="000F502E" w:rsidRPr="000F502E" w:rsidRDefault="000F502E" w:rsidP="00D80860">
            <w:pPr>
              <w:tabs>
                <w:tab w:val="num" w:pos="567"/>
              </w:tabs>
              <w:spacing w:line="320" w:lineRule="exact"/>
              <w:ind w:leftChars="200" w:left="720" w:hangingChars="100" w:hanging="240"/>
              <w:jc w:val="both"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0F502E">
              <w:rPr>
                <w:rFonts w:ascii="標楷體" w:eastAsia="標楷體" w:hAnsi="標楷體" w:cs="新細明體" w:hint="eastAsia"/>
                <w:kern w:val="0"/>
                <w:u w:val="single"/>
              </w:rPr>
              <w:t>2.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一般家具、百貨公司、量販店、超級市場、醫院（診所）、藥局等行業。</w:t>
            </w:r>
          </w:p>
        </w:tc>
        <w:tc>
          <w:tcPr>
            <w:tcW w:w="3261" w:type="dxa"/>
          </w:tcPr>
          <w:p w:rsidR="008F286E" w:rsidRDefault="00026546" w:rsidP="008C6231">
            <w:pPr>
              <w:numPr>
                <w:ilvl w:val="0"/>
                <w:numId w:val="8"/>
              </w:numPr>
              <w:spacing w:line="320" w:lineRule="exact"/>
              <w:ind w:left="284" w:hanging="284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為適度鬆綁國民旅遊卡業別管制，以活絡內需市場，放寬不再區分商圈內或商圈外，各行業別均得成為特約商店</w:t>
            </w:r>
            <w:r w:rsidR="00777F49">
              <w:rPr>
                <w:rFonts w:ascii="標楷體" w:eastAsia="標楷體" w:hAnsi="標楷體" w:cs="新細明體" w:hint="eastAsia"/>
                <w:kern w:val="0"/>
              </w:rPr>
              <w:t>，爰刪除</w:t>
            </w:r>
            <w:r w:rsidR="008F286E">
              <w:rPr>
                <w:rFonts w:ascii="標楷體" w:eastAsia="標楷體" w:hAnsi="標楷體" w:cs="新細明體" w:hint="eastAsia"/>
                <w:kern w:val="0"/>
              </w:rPr>
              <w:t>現行</w:t>
            </w:r>
            <w:r w:rsidR="00777F49">
              <w:rPr>
                <w:rFonts w:ascii="標楷體" w:eastAsia="標楷體" w:hAnsi="標楷體" w:cs="新細明體" w:hint="eastAsia"/>
                <w:kern w:val="0"/>
              </w:rPr>
              <w:t>附註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777F49">
              <w:rPr>
                <w:rFonts w:ascii="標楷體" w:eastAsia="標楷體" w:hAnsi="標楷體" w:cs="新細明體" w:hint="eastAsia"/>
                <w:kern w:val="0"/>
              </w:rPr>
              <w:t>規定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8F286E" w:rsidRPr="00C06C99" w:rsidRDefault="008F286E" w:rsidP="00F332F0">
            <w:pPr>
              <w:numPr>
                <w:ilvl w:val="0"/>
                <w:numId w:val="8"/>
              </w:numPr>
              <w:spacing w:line="320" w:lineRule="exact"/>
              <w:ind w:left="284" w:hanging="284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C6231">
              <w:rPr>
                <w:rFonts w:ascii="標楷體" w:eastAsia="標楷體" w:hAnsi="標楷體" w:cs="新細明體" w:hint="eastAsia"/>
                <w:kern w:val="0"/>
              </w:rPr>
              <w:t>儲值性商品</w:t>
            </w:r>
            <w:r w:rsidR="006D0931">
              <w:rPr>
                <w:rFonts w:ascii="標楷體" w:eastAsia="標楷體" w:hAnsi="標楷體" w:cs="新細明體" w:hint="eastAsia"/>
                <w:kern w:val="0"/>
              </w:rPr>
              <w:t>具儲值性質，且</w:t>
            </w:r>
            <w:r w:rsidR="00C06C99">
              <w:rPr>
                <w:rFonts w:ascii="標楷體" w:eastAsia="標楷體" w:hAnsi="標楷體" w:cs="新細明體" w:hint="eastAsia"/>
                <w:kern w:val="0"/>
              </w:rPr>
              <w:t>屬</w:t>
            </w:r>
            <w:r w:rsidR="006D0931">
              <w:rPr>
                <w:rFonts w:ascii="標楷體" w:eastAsia="標楷體" w:hAnsi="標楷體" w:cs="新細明體" w:hint="eastAsia"/>
                <w:kern w:val="0"/>
              </w:rPr>
              <w:t>無法確定實際使用日期</w:t>
            </w:r>
            <w:r w:rsidR="00C06C99">
              <w:rPr>
                <w:rFonts w:ascii="標楷體" w:eastAsia="標楷體" w:hAnsi="標楷體" w:cs="新細明體" w:hint="eastAsia"/>
                <w:kern w:val="0"/>
              </w:rPr>
              <w:t>之消費</w:t>
            </w:r>
            <w:r w:rsidR="006D0931">
              <w:rPr>
                <w:rFonts w:ascii="標楷體" w:eastAsia="標楷體" w:hAnsi="標楷體" w:cs="新細明體" w:hint="eastAsia"/>
                <w:kern w:val="0"/>
              </w:rPr>
              <w:t>，並有變現之疑慮</w:t>
            </w:r>
            <w:r w:rsidR="008C6231" w:rsidRPr="008C6231">
              <w:rPr>
                <w:rFonts w:ascii="標楷體" w:eastAsia="標楷體" w:hAnsi="標楷體" w:cs="新細明體" w:hint="eastAsia"/>
                <w:kern w:val="0"/>
              </w:rPr>
              <w:t>，業經原行政院經濟建設委員會於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九十二</w:t>
            </w:r>
            <w:r w:rsidR="008C6231" w:rsidRPr="008C6231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8C6231" w:rsidRPr="008C6231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二十三</w:t>
            </w:r>
            <w:r w:rsidR="008C6231" w:rsidRPr="008C6231">
              <w:rPr>
                <w:rFonts w:ascii="標楷體" w:eastAsia="標楷體" w:hAnsi="標楷體" w:cs="新細明體" w:hint="eastAsia"/>
                <w:kern w:val="0"/>
              </w:rPr>
              <w:t>日召開國旅卡發卡作業跨部會協調會第</w:t>
            </w:r>
            <w:r w:rsidR="00F332F0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8C6231" w:rsidRPr="008C6231">
              <w:rPr>
                <w:rFonts w:ascii="標楷體" w:eastAsia="標楷體" w:hAnsi="標楷體" w:cs="新細明體" w:hint="eastAsia"/>
                <w:kern w:val="0"/>
              </w:rPr>
              <w:t>次會議決定不列入休假補助核銷範圍。</w:t>
            </w:r>
            <w:r w:rsidR="00C06C99">
              <w:rPr>
                <w:rFonts w:ascii="標楷體" w:eastAsia="標楷體" w:hAnsi="標楷體" w:cs="新細明體" w:hint="eastAsia"/>
                <w:kern w:val="0"/>
              </w:rPr>
              <w:t>具體而</w:t>
            </w:r>
            <w:r w:rsidR="00C06C99" w:rsidRPr="00C06C99">
              <w:rPr>
                <w:rFonts w:ascii="標楷體" w:eastAsia="標楷體" w:hAnsi="標楷體" w:cs="新細明體" w:hint="eastAsia"/>
                <w:kern w:val="0"/>
              </w:rPr>
              <w:t>言，</w:t>
            </w:r>
            <w:r w:rsidR="00C06C99">
              <w:rPr>
                <w:rFonts w:ascii="標楷體" w:eastAsia="標楷體" w:hAnsi="標楷體" w:cs="新細明體" w:hint="eastAsia"/>
                <w:kern w:val="0"/>
              </w:rPr>
              <w:t>於</w:t>
            </w:r>
            <w:r w:rsidR="00C06C99" w:rsidRPr="00C06C99">
              <w:rPr>
                <w:rFonts w:ascii="標楷體" w:eastAsia="標楷體" w:hAnsi="標楷體" w:cs="新細明體" w:hint="eastAsia"/>
                <w:kern w:val="0"/>
              </w:rPr>
              <w:t>國民旅遊卡特約商店購買油票、提貨券、禮券、住宿券、旅遊券、空白機票、</w:t>
            </w:r>
            <w:r w:rsidR="00C06C99" w:rsidRPr="00C06C99">
              <w:rPr>
                <w:rFonts w:ascii="標楷體" w:eastAsia="標楷體" w:hAnsi="標楷體" w:cs="新細明體" w:hint="eastAsia"/>
                <w:kern w:val="0"/>
              </w:rPr>
              <w:lastRenderedPageBreak/>
              <w:t>火車月票、捷運儲值票、悠遊卡、高速公路電子收費卡（eTag）、餐券及金飾與珠寶等具儲值性質，與國民旅遊卡政策目標不符，不得列入補助範圍。</w:t>
            </w:r>
          </w:p>
        </w:tc>
      </w:tr>
    </w:tbl>
    <w:p w:rsidR="00C10A93" w:rsidRPr="008F286E" w:rsidRDefault="00C10A93" w:rsidP="0042679A"/>
    <w:sectPr w:rsidR="00C10A93" w:rsidRPr="008F286E" w:rsidSect="00FF2C99">
      <w:footerReference w:type="default" r:id="rId7"/>
      <w:pgSz w:w="16838" w:h="11906" w:orient="landscape"/>
      <w:pgMar w:top="1134" w:right="820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6E" w:rsidRDefault="00E9246E">
      <w:r>
        <w:separator/>
      </w:r>
    </w:p>
  </w:endnote>
  <w:endnote w:type="continuationSeparator" w:id="0">
    <w:p w:rsidR="00E9246E" w:rsidRDefault="00E9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46" w:rsidRDefault="00026546">
    <w:pPr>
      <w:pStyle w:val="a7"/>
      <w:jc w:val="center"/>
    </w:pPr>
    <w:fldSimple w:instr="PAGE   \* MERGEFORMAT">
      <w:r w:rsidR="00D0721C" w:rsidRPr="00D0721C">
        <w:rPr>
          <w:noProof/>
          <w:lang w:val="zh-TW"/>
        </w:rPr>
        <w:t>1</w:t>
      </w:r>
    </w:fldSimple>
  </w:p>
  <w:p w:rsidR="00026546" w:rsidRDefault="000265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6E" w:rsidRDefault="00E9246E">
      <w:r>
        <w:separator/>
      </w:r>
    </w:p>
  </w:footnote>
  <w:footnote w:type="continuationSeparator" w:id="0">
    <w:p w:rsidR="00E9246E" w:rsidRDefault="00E92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C96"/>
    <w:multiLevelType w:val="hybridMultilevel"/>
    <w:tmpl w:val="DE1444B6"/>
    <w:lvl w:ilvl="0" w:tplc="657E2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70446"/>
    <w:multiLevelType w:val="hybridMultilevel"/>
    <w:tmpl w:val="A9A0083A"/>
    <w:lvl w:ilvl="0" w:tplc="DFFA2EB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9515DC"/>
    <w:multiLevelType w:val="hybridMultilevel"/>
    <w:tmpl w:val="9ABE08E6"/>
    <w:lvl w:ilvl="0" w:tplc="C336970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3E3A38"/>
    <w:multiLevelType w:val="hybridMultilevel"/>
    <w:tmpl w:val="4064BB12"/>
    <w:lvl w:ilvl="0" w:tplc="4EDA67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590C8F"/>
    <w:multiLevelType w:val="hybridMultilevel"/>
    <w:tmpl w:val="E3943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124276"/>
    <w:multiLevelType w:val="hybridMultilevel"/>
    <w:tmpl w:val="E5B288A2"/>
    <w:lvl w:ilvl="0" w:tplc="7EFC2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CF1D1E"/>
    <w:multiLevelType w:val="hybridMultilevel"/>
    <w:tmpl w:val="4BF2E4D8"/>
    <w:lvl w:ilvl="0" w:tplc="174C028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336970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51450560"/>
    <w:multiLevelType w:val="hybridMultilevel"/>
    <w:tmpl w:val="5DB8EB52"/>
    <w:lvl w:ilvl="0" w:tplc="91D88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2B0BAC"/>
    <w:multiLevelType w:val="hybridMultilevel"/>
    <w:tmpl w:val="6AE4337A"/>
    <w:lvl w:ilvl="0" w:tplc="2EE683B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A93"/>
    <w:rsid w:val="00026546"/>
    <w:rsid w:val="000531F8"/>
    <w:rsid w:val="00066688"/>
    <w:rsid w:val="000761AD"/>
    <w:rsid w:val="00080EC7"/>
    <w:rsid w:val="00092781"/>
    <w:rsid w:val="000E539C"/>
    <w:rsid w:val="000F321B"/>
    <w:rsid w:val="000F502E"/>
    <w:rsid w:val="00120E9B"/>
    <w:rsid w:val="0016665C"/>
    <w:rsid w:val="001864CF"/>
    <w:rsid w:val="001C4FF8"/>
    <w:rsid w:val="002518F5"/>
    <w:rsid w:val="00257BE3"/>
    <w:rsid w:val="00277FBE"/>
    <w:rsid w:val="002848ED"/>
    <w:rsid w:val="002A3DB1"/>
    <w:rsid w:val="002A40A5"/>
    <w:rsid w:val="002C5BC8"/>
    <w:rsid w:val="003303E2"/>
    <w:rsid w:val="00343D8D"/>
    <w:rsid w:val="003448E7"/>
    <w:rsid w:val="0037152E"/>
    <w:rsid w:val="00375652"/>
    <w:rsid w:val="003C13C7"/>
    <w:rsid w:val="003E1D50"/>
    <w:rsid w:val="003E6028"/>
    <w:rsid w:val="004204DD"/>
    <w:rsid w:val="0042653E"/>
    <w:rsid w:val="0042679A"/>
    <w:rsid w:val="0045297F"/>
    <w:rsid w:val="00470E66"/>
    <w:rsid w:val="00497EE6"/>
    <w:rsid w:val="00502EED"/>
    <w:rsid w:val="00513533"/>
    <w:rsid w:val="00533B46"/>
    <w:rsid w:val="0054504F"/>
    <w:rsid w:val="005522A0"/>
    <w:rsid w:val="005627A5"/>
    <w:rsid w:val="005D6EC3"/>
    <w:rsid w:val="005E7169"/>
    <w:rsid w:val="00607206"/>
    <w:rsid w:val="00650F97"/>
    <w:rsid w:val="00692EA3"/>
    <w:rsid w:val="006B4439"/>
    <w:rsid w:val="006C18FF"/>
    <w:rsid w:val="006D0931"/>
    <w:rsid w:val="006E7978"/>
    <w:rsid w:val="00717705"/>
    <w:rsid w:val="007739E5"/>
    <w:rsid w:val="00777F49"/>
    <w:rsid w:val="00795B66"/>
    <w:rsid w:val="007A0047"/>
    <w:rsid w:val="00865B27"/>
    <w:rsid w:val="0089612B"/>
    <w:rsid w:val="008A622F"/>
    <w:rsid w:val="008C385F"/>
    <w:rsid w:val="008C3F8A"/>
    <w:rsid w:val="008C6231"/>
    <w:rsid w:val="008D5737"/>
    <w:rsid w:val="008E0ADE"/>
    <w:rsid w:val="008E1B67"/>
    <w:rsid w:val="008F286E"/>
    <w:rsid w:val="0091451E"/>
    <w:rsid w:val="009274D4"/>
    <w:rsid w:val="009307DC"/>
    <w:rsid w:val="00953065"/>
    <w:rsid w:val="009D62A6"/>
    <w:rsid w:val="00A54881"/>
    <w:rsid w:val="00A655C1"/>
    <w:rsid w:val="00AB6CA4"/>
    <w:rsid w:val="00AC4836"/>
    <w:rsid w:val="00AD5DD9"/>
    <w:rsid w:val="00AE5D9B"/>
    <w:rsid w:val="00AF6A9B"/>
    <w:rsid w:val="00B218FF"/>
    <w:rsid w:val="00B57A45"/>
    <w:rsid w:val="00BC1656"/>
    <w:rsid w:val="00BF137D"/>
    <w:rsid w:val="00C06C99"/>
    <w:rsid w:val="00C10A93"/>
    <w:rsid w:val="00C73A02"/>
    <w:rsid w:val="00CC3AE8"/>
    <w:rsid w:val="00D0721C"/>
    <w:rsid w:val="00D16DC7"/>
    <w:rsid w:val="00D23EFD"/>
    <w:rsid w:val="00D80860"/>
    <w:rsid w:val="00D93F86"/>
    <w:rsid w:val="00DA01DE"/>
    <w:rsid w:val="00E16CE0"/>
    <w:rsid w:val="00E330AF"/>
    <w:rsid w:val="00E43783"/>
    <w:rsid w:val="00E50FE8"/>
    <w:rsid w:val="00E55FB0"/>
    <w:rsid w:val="00E85BCD"/>
    <w:rsid w:val="00E9246E"/>
    <w:rsid w:val="00E9449A"/>
    <w:rsid w:val="00EA6C40"/>
    <w:rsid w:val="00EC4298"/>
    <w:rsid w:val="00EE0739"/>
    <w:rsid w:val="00EE5A19"/>
    <w:rsid w:val="00EE6FB8"/>
    <w:rsid w:val="00EF59B6"/>
    <w:rsid w:val="00F16329"/>
    <w:rsid w:val="00F332F0"/>
    <w:rsid w:val="00F4184B"/>
    <w:rsid w:val="00F55AB3"/>
    <w:rsid w:val="00F73F4F"/>
    <w:rsid w:val="00FB71E4"/>
    <w:rsid w:val="00FF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C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3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8D573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16CE0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E16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16CE0"/>
    <w:rPr>
      <w:rFonts w:ascii="Times New Roman" w:hAnsi="Times New Roman"/>
      <w:kern w:val="2"/>
    </w:rPr>
  </w:style>
  <w:style w:type="paragraph" w:styleId="a9">
    <w:name w:val="List Paragraph"/>
    <w:basedOn w:val="a"/>
    <w:uiPriority w:val="34"/>
    <w:qFormat/>
    <w:rsid w:val="008F28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「行政院與所屬中央及地方各機關公務人員休假改進措施」第五點附表：國民旅遊卡特約商店業別及細項分類表修正對照表</dc:title>
  <dc:creator>江軍威</dc:creator>
  <cp:lastModifiedBy>USER</cp:lastModifiedBy>
  <cp:revision>2</cp:revision>
  <cp:lastPrinted>2015-03-27T02:28:00Z</cp:lastPrinted>
  <dcterms:created xsi:type="dcterms:W3CDTF">2018-05-22T01:36:00Z</dcterms:created>
  <dcterms:modified xsi:type="dcterms:W3CDTF">2018-05-22T01:36:00Z</dcterms:modified>
</cp:coreProperties>
</file>