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9A" w:rsidRDefault="008C4D86" w:rsidP="008C4D86">
      <w:pPr>
        <w:jc w:val="center"/>
        <w:rPr>
          <w:rFonts w:ascii="標楷體" w:eastAsia="標楷體" w:hAnsi="標楷體" w:hint="eastAsia"/>
          <w:bCs/>
          <w:sz w:val="28"/>
        </w:rPr>
      </w:pPr>
      <w:r>
        <w:rPr>
          <w:rFonts w:ascii="標楷體" w:eastAsia="標楷體" w:hAnsi="標楷體" w:hint="eastAsia"/>
          <w:bCs/>
          <w:sz w:val="28"/>
        </w:rPr>
        <w:t>花蓮縣政府及</w:t>
      </w:r>
      <w:r w:rsidRPr="008C4D86">
        <w:rPr>
          <w:rFonts w:ascii="標楷體" w:eastAsia="標楷體" w:hAnsi="標楷體" w:hint="eastAsia"/>
          <w:bCs/>
          <w:sz w:val="28"/>
        </w:rPr>
        <w:t>所屬機關</w:t>
      </w:r>
      <w:r>
        <w:rPr>
          <w:rFonts w:ascii="標楷體" w:eastAsia="標楷體" w:hAnsi="標楷體" w:hint="eastAsia"/>
          <w:bCs/>
          <w:sz w:val="28"/>
        </w:rPr>
        <w:t>學校</w:t>
      </w:r>
      <w:r w:rsidRPr="008C4D86">
        <w:rPr>
          <w:rFonts w:ascii="標楷體" w:eastAsia="標楷體" w:hAnsi="標楷體" w:hint="eastAsia"/>
          <w:bCs/>
          <w:sz w:val="28"/>
        </w:rPr>
        <w:t>非主管人員請調作業原則</w:t>
      </w:r>
    </w:p>
    <w:p w:rsidR="008C4D86" w:rsidRPr="008C4D86" w:rsidRDefault="008C4D86" w:rsidP="008C4D86">
      <w:pPr>
        <w:ind w:left="480" w:hangingChars="200" w:hanging="480"/>
        <w:jc w:val="both"/>
        <w:rPr>
          <w:rFonts w:ascii="標楷體" w:eastAsia="標楷體" w:hAnsi="標楷體" w:cs="標楷體" w:hint="eastAsia"/>
          <w:snapToGrid w:val="0"/>
          <w:kern w:val="0"/>
        </w:rPr>
      </w:pPr>
      <w:r w:rsidRPr="008C4D86">
        <w:rPr>
          <w:rFonts w:ascii="標楷體" w:eastAsia="標楷體" w:hAnsi="標楷體" w:cs="標楷體" w:hint="eastAsia"/>
          <w:snapToGrid w:val="0"/>
          <w:kern w:val="0"/>
        </w:rPr>
        <w:t>一、花蓮縣政府（以下簡稱本府）為辦理本府與所屬機關學校（以下簡稱所屬機關）或所屬機關間非主管人員之遷調，特訂定本作業原則。</w:t>
      </w:r>
    </w:p>
    <w:p w:rsidR="008C4D86" w:rsidRPr="008C4D86" w:rsidRDefault="008C4D86" w:rsidP="00A304BE">
      <w:pPr>
        <w:kinsoku w:val="0"/>
        <w:overflowPunct w:val="0"/>
        <w:autoSpaceDE w:val="0"/>
        <w:autoSpaceDN w:val="0"/>
        <w:adjustRightInd w:val="0"/>
        <w:snapToGrid w:val="0"/>
        <w:ind w:left="480" w:hangingChars="200" w:hanging="480"/>
        <w:jc w:val="both"/>
        <w:rPr>
          <w:rFonts w:ascii="標楷體" w:eastAsia="標楷體" w:hAnsi="標楷體" w:cs="標楷體"/>
          <w:snapToGrid w:val="0"/>
          <w:kern w:val="0"/>
        </w:rPr>
      </w:pPr>
      <w:r w:rsidRPr="008C4D86">
        <w:rPr>
          <w:rFonts w:ascii="標楷體" w:eastAsia="標楷體" w:hAnsi="標楷體" w:cs="標楷體" w:hint="eastAsia"/>
          <w:snapToGrid w:val="0"/>
          <w:kern w:val="0"/>
        </w:rPr>
        <w:t>二、適用對象：本府與所屬機關或所屬機關間依公務人員任用法及醫事人員人事條例任用之非主管人員，調任職務列等及職務相當之職務。但衛生局與各衛生所相互間之遷調依衛生局之遷調規定辦理。</w:t>
      </w:r>
    </w:p>
    <w:p w:rsidR="008C4D86" w:rsidRPr="008C4D86" w:rsidRDefault="008C4D86" w:rsidP="00A304BE">
      <w:pPr>
        <w:tabs>
          <w:tab w:val="center" w:pos="1423"/>
        </w:tabs>
        <w:kinsoku w:val="0"/>
        <w:overflowPunct w:val="0"/>
        <w:autoSpaceDE w:val="0"/>
        <w:autoSpaceDN w:val="0"/>
        <w:adjustRightInd w:val="0"/>
        <w:snapToGrid w:val="0"/>
        <w:ind w:leftChars="200" w:left="480"/>
        <w:jc w:val="both"/>
        <w:rPr>
          <w:rFonts w:ascii="標楷體" w:eastAsia="標楷體" w:hAnsi="標楷體" w:cs="標楷體"/>
          <w:snapToGrid w:val="0"/>
          <w:kern w:val="0"/>
        </w:rPr>
      </w:pPr>
      <w:r w:rsidRPr="008C4D86">
        <w:rPr>
          <w:rFonts w:ascii="標楷體" w:eastAsia="標楷體" w:hAnsi="標楷體" w:cs="標楷體" w:hint="eastAsia"/>
          <w:snapToGrid w:val="0"/>
          <w:kern w:val="0"/>
        </w:rPr>
        <w:t>具下列情形之一者優先遷調：</w:t>
      </w:r>
    </w:p>
    <w:p w:rsidR="008C4D86" w:rsidRPr="008C4D86" w:rsidRDefault="00A304BE" w:rsidP="008C4D86">
      <w:pPr>
        <w:autoSpaceDE w:val="0"/>
        <w:autoSpaceDN w:val="0"/>
        <w:adjustRightInd w:val="0"/>
        <w:ind w:leftChars="100" w:left="480" w:hangingChars="100" w:hanging="240"/>
        <w:jc w:val="both"/>
        <w:rPr>
          <w:rFonts w:ascii="標楷體" w:eastAsia="標楷體" w:hAnsi="標楷體" w:cs="標楷體"/>
          <w:snapToGrid w:val="0"/>
          <w:kern w:val="0"/>
        </w:rPr>
      </w:pPr>
      <w:r>
        <w:rPr>
          <w:rFonts w:ascii="標楷體" w:eastAsia="標楷體" w:hAnsi="標楷體" w:cs="標楷體" w:hint="eastAsia"/>
          <w:snapToGrid w:val="0"/>
          <w:kern w:val="0"/>
        </w:rPr>
        <w:t>（一）</w:t>
      </w:r>
      <w:r w:rsidR="000A1B9F">
        <w:rPr>
          <w:rFonts w:ascii="標楷體" w:eastAsia="標楷體" w:hAnsi="標楷體" w:cs="標楷體" w:hint="eastAsia"/>
          <w:snapToGrid w:val="0"/>
          <w:kern w:val="0"/>
        </w:rPr>
        <w:t>具</w:t>
      </w:r>
      <w:r w:rsidR="008C4D86" w:rsidRPr="008C4D86">
        <w:rPr>
          <w:rFonts w:ascii="標楷體" w:eastAsia="標楷體" w:hAnsi="標楷體" w:cs="標楷體" w:hint="eastAsia"/>
          <w:snapToGrid w:val="0"/>
          <w:kern w:val="0"/>
        </w:rPr>
        <w:t>原住民</w:t>
      </w:r>
      <w:r w:rsidR="000A1B9F">
        <w:rPr>
          <w:rFonts w:ascii="標楷體" w:eastAsia="標楷體" w:hAnsi="標楷體" w:cs="標楷體" w:hint="eastAsia"/>
          <w:snapToGrid w:val="0"/>
          <w:kern w:val="0"/>
        </w:rPr>
        <w:t>身分或</w:t>
      </w:r>
      <w:r w:rsidR="008C4D86" w:rsidRPr="008C4D86">
        <w:rPr>
          <w:rFonts w:ascii="標楷體" w:eastAsia="標楷體" w:hAnsi="標楷體" w:cs="標楷體" w:hint="eastAsia"/>
          <w:snapToGrid w:val="0"/>
          <w:kern w:val="0"/>
        </w:rPr>
        <w:t>身心障礙證明者遷調至未足額進用之機關。</w:t>
      </w:r>
    </w:p>
    <w:p w:rsidR="008C4D86" w:rsidRPr="008C4D86" w:rsidRDefault="00A304BE" w:rsidP="008C4D86">
      <w:pPr>
        <w:autoSpaceDE w:val="0"/>
        <w:autoSpaceDN w:val="0"/>
        <w:adjustRightInd w:val="0"/>
        <w:ind w:leftChars="100" w:left="480" w:hangingChars="100" w:hanging="240"/>
        <w:jc w:val="both"/>
        <w:rPr>
          <w:rFonts w:ascii="標楷體" w:eastAsia="標楷體" w:hAnsi="標楷體" w:cs="標楷體" w:hint="eastAsia"/>
          <w:snapToGrid w:val="0"/>
          <w:kern w:val="0"/>
        </w:rPr>
      </w:pPr>
      <w:r>
        <w:rPr>
          <w:rFonts w:ascii="標楷體" w:eastAsia="標楷體" w:hAnsi="標楷體" w:cs="標楷體" w:hint="eastAsia"/>
          <w:snapToGrid w:val="0"/>
          <w:kern w:val="0"/>
        </w:rPr>
        <w:t>（二）</w:t>
      </w:r>
      <w:r w:rsidR="00B02EA2">
        <w:rPr>
          <w:rFonts w:ascii="標楷體" w:eastAsia="標楷體" w:hAnsi="標楷體" w:cs="標楷體" w:hint="eastAsia"/>
          <w:snapToGrid w:val="0"/>
          <w:kern w:val="0"/>
        </w:rPr>
        <w:t>單</w:t>
      </w:r>
      <w:r w:rsidR="008C4D86" w:rsidRPr="008C4D86">
        <w:rPr>
          <w:rFonts w:ascii="標楷體" w:eastAsia="標楷體" w:hAnsi="標楷體" w:cs="標楷體" w:hint="eastAsia"/>
          <w:snapToGrid w:val="0"/>
          <w:kern w:val="0"/>
        </w:rPr>
        <w:t>親或配偶長期在外縣（市）工作需就近照顧就讀高中職以下子女者。</w:t>
      </w:r>
    </w:p>
    <w:p w:rsidR="008C4D86" w:rsidRPr="008C4D86" w:rsidRDefault="00A304BE" w:rsidP="008C4D86">
      <w:pPr>
        <w:autoSpaceDE w:val="0"/>
        <w:autoSpaceDN w:val="0"/>
        <w:adjustRightInd w:val="0"/>
        <w:ind w:leftChars="100" w:left="480" w:hangingChars="100" w:hanging="240"/>
        <w:jc w:val="both"/>
        <w:rPr>
          <w:rFonts w:ascii="標楷體" w:eastAsia="標楷體" w:hAnsi="標楷體" w:cs="標楷體"/>
          <w:snapToGrid w:val="0"/>
          <w:kern w:val="0"/>
        </w:rPr>
      </w:pPr>
      <w:r>
        <w:rPr>
          <w:rFonts w:ascii="標楷體" w:eastAsia="標楷體" w:hAnsi="標楷體" w:cs="標楷體" w:hint="eastAsia"/>
          <w:snapToGrid w:val="0"/>
          <w:kern w:val="0"/>
        </w:rPr>
        <w:t>（三）</w:t>
      </w:r>
      <w:r w:rsidR="008C4D86" w:rsidRPr="008C4D86">
        <w:rPr>
          <w:rFonts w:ascii="標楷體" w:eastAsia="標楷體" w:hAnsi="標楷體" w:cs="標楷體" w:hint="eastAsia"/>
          <w:snapToGrid w:val="0"/>
          <w:kern w:val="0"/>
        </w:rPr>
        <w:t>獨子女之父母年逾七十歲或重病，需就近照顧者。</w:t>
      </w:r>
    </w:p>
    <w:p w:rsidR="008C4D86" w:rsidRPr="008C4D86" w:rsidRDefault="00A304BE" w:rsidP="008C4D86">
      <w:pPr>
        <w:autoSpaceDE w:val="0"/>
        <w:autoSpaceDN w:val="0"/>
        <w:adjustRightInd w:val="0"/>
        <w:ind w:leftChars="100" w:left="480" w:hangingChars="100" w:hanging="240"/>
        <w:jc w:val="both"/>
        <w:rPr>
          <w:rFonts w:ascii="標楷體" w:eastAsia="標楷體" w:hAnsi="標楷體" w:cs="標楷體"/>
          <w:snapToGrid w:val="0"/>
          <w:kern w:val="0"/>
        </w:rPr>
      </w:pPr>
      <w:r>
        <w:rPr>
          <w:rFonts w:ascii="標楷體" w:eastAsia="標楷體" w:hAnsi="標楷體" w:cs="標楷體" w:hint="eastAsia"/>
          <w:snapToGrid w:val="0"/>
          <w:kern w:val="0"/>
        </w:rPr>
        <w:t>（四）</w:t>
      </w:r>
      <w:r w:rsidR="008C4D86" w:rsidRPr="008C4D86">
        <w:rPr>
          <w:rFonts w:ascii="標楷體" w:eastAsia="標楷體" w:hAnsi="標楷體" w:cs="標楷體" w:hint="eastAsia"/>
          <w:snapToGrid w:val="0"/>
          <w:kern w:val="0"/>
        </w:rPr>
        <w:t>其他特殊狀況或原因者。</w:t>
      </w:r>
    </w:p>
    <w:p w:rsidR="008C4D86" w:rsidRPr="008C4D86" w:rsidRDefault="008C4D86" w:rsidP="008C4D86">
      <w:pPr>
        <w:kinsoku w:val="0"/>
        <w:overflowPunct w:val="0"/>
        <w:autoSpaceDE w:val="0"/>
        <w:autoSpaceDN w:val="0"/>
        <w:adjustRightInd w:val="0"/>
        <w:snapToGrid w:val="0"/>
        <w:jc w:val="both"/>
        <w:rPr>
          <w:rFonts w:ascii="標楷體" w:eastAsia="標楷體" w:hAnsi="標楷體" w:cs="標楷體" w:hint="eastAsia"/>
          <w:snapToGrid w:val="0"/>
          <w:kern w:val="0"/>
        </w:rPr>
      </w:pPr>
      <w:r w:rsidRPr="008C4D86">
        <w:rPr>
          <w:rFonts w:ascii="標楷體" w:eastAsia="標楷體" w:hAnsi="標楷體" w:cs="標楷體" w:hint="eastAsia"/>
          <w:snapToGrid w:val="0"/>
          <w:kern w:val="0"/>
        </w:rPr>
        <w:t>三、限制：</w:t>
      </w:r>
    </w:p>
    <w:p w:rsidR="008C4D86" w:rsidRPr="008C4D86" w:rsidRDefault="008C4D86" w:rsidP="008C4D86">
      <w:pPr>
        <w:kinsoku w:val="0"/>
        <w:overflowPunct w:val="0"/>
        <w:autoSpaceDE w:val="0"/>
        <w:autoSpaceDN w:val="0"/>
        <w:adjustRightInd w:val="0"/>
        <w:snapToGrid w:val="0"/>
        <w:ind w:left="720" w:hangingChars="300" w:hanging="720"/>
        <w:jc w:val="both"/>
        <w:rPr>
          <w:rFonts w:ascii="標楷體" w:eastAsia="標楷體" w:hAnsi="標楷體" w:cs="標楷體" w:hint="eastAsia"/>
          <w:snapToGrid w:val="0"/>
          <w:kern w:val="0"/>
        </w:rPr>
      </w:pPr>
      <w:r w:rsidRPr="008C4D86">
        <w:rPr>
          <w:rFonts w:ascii="標楷體" w:eastAsia="標楷體" w:hAnsi="標楷體" w:cs="標楷體" w:hint="eastAsia"/>
          <w:snapToGrid w:val="0"/>
          <w:kern w:val="0"/>
        </w:rPr>
        <w:t>（一）依法令有服務期限規定尚未屆滿服務期限者。</w:t>
      </w:r>
    </w:p>
    <w:p w:rsidR="008C4D86" w:rsidRPr="008C4D86" w:rsidRDefault="008C4D86" w:rsidP="008C4D86">
      <w:pPr>
        <w:kinsoku w:val="0"/>
        <w:overflowPunct w:val="0"/>
        <w:autoSpaceDE w:val="0"/>
        <w:autoSpaceDN w:val="0"/>
        <w:adjustRightInd w:val="0"/>
        <w:snapToGrid w:val="0"/>
        <w:ind w:left="720" w:hangingChars="300" w:hanging="720"/>
        <w:jc w:val="both"/>
        <w:rPr>
          <w:rFonts w:ascii="標楷體" w:eastAsia="標楷體" w:hAnsi="標楷體" w:cs="標楷體" w:hint="eastAsia"/>
          <w:snapToGrid w:val="0"/>
          <w:kern w:val="0"/>
        </w:rPr>
      </w:pPr>
      <w:r w:rsidRPr="008C4D86">
        <w:rPr>
          <w:rFonts w:ascii="標楷體" w:eastAsia="標楷體" w:hAnsi="標楷體" w:cs="標楷體" w:hint="eastAsia"/>
          <w:snapToGrid w:val="0"/>
          <w:kern w:val="0"/>
        </w:rPr>
        <w:t>（二）在現職機關服務未滿一年者。</w:t>
      </w:r>
    </w:p>
    <w:p w:rsidR="008C4D86" w:rsidRPr="008C4D86" w:rsidRDefault="008C4D86" w:rsidP="008C4D86">
      <w:pPr>
        <w:jc w:val="both"/>
        <w:rPr>
          <w:rFonts w:hint="eastAsia"/>
        </w:rPr>
      </w:pPr>
      <w:r w:rsidRPr="008C4D86">
        <w:rPr>
          <w:rFonts w:ascii="標楷體" w:eastAsia="標楷體" w:hAnsi="標楷體" w:cs="標楷體" w:hint="eastAsia"/>
          <w:snapToGrid w:val="0"/>
          <w:kern w:val="0"/>
        </w:rPr>
        <w:t>（三）經申請並奉准後自請銷調者，自銷調日起一年內不得再提出遷調申請。</w:t>
      </w:r>
    </w:p>
    <w:p w:rsidR="008C4D86" w:rsidRPr="008C4D86" w:rsidRDefault="008C4D86" w:rsidP="008C4D86">
      <w:pPr>
        <w:kinsoku w:val="0"/>
        <w:overflowPunct w:val="0"/>
        <w:autoSpaceDE w:val="0"/>
        <w:autoSpaceDN w:val="0"/>
        <w:adjustRightInd w:val="0"/>
        <w:snapToGrid w:val="0"/>
        <w:jc w:val="both"/>
        <w:rPr>
          <w:rFonts w:ascii="標楷體" w:eastAsia="標楷體" w:hAnsi="標楷體" w:cs="標楷體" w:hint="eastAsia"/>
          <w:snapToGrid w:val="0"/>
          <w:kern w:val="0"/>
        </w:rPr>
      </w:pPr>
      <w:r w:rsidRPr="008C4D86">
        <w:rPr>
          <w:rFonts w:ascii="標楷體" w:eastAsia="標楷體" w:hAnsi="標楷體" w:cs="標楷體" w:hint="eastAsia"/>
          <w:snapToGrid w:val="0"/>
          <w:kern w:val="0"/>
        </w:rPr>
        <w:t>四、作業程序：</w:t>
      </w:r>
    </w:p>
    <w:p w:rsidR="008C4D86" w:rsidRPr="008C4D86" w:rsidRDefault="008C4D86" w:rsidP="008C4D86">
      <w:pPr>
        <w:kinsoku w:val="0"/>
        <w:overflowPunct w:val="0"/>
        <w:autoSpaceDE w:val="0"/>
        <w:autoSpaceDN w:val="0"/>
        <w:adjustRightInd w:val="0"/>
        <w:snapToGrid w:val="0"/>
        <w:ind w:left="672" w:hangingChars="280" w:hanging="672"/>
        <w:jc w:val="both"/>
        <w:rPr>
          <w:rFonts w:ascii="標楷體" w:eastAsia="標楷體" w:hAnsi="標楷體" w:cs="標楷體" w:hint="eastAsia"/>
          <w:snapToGrid w:val="0"/>
          <w:kern w:val="0"/>
        </w:rPr>
      </w:pPr>
      <w:r w:rsidRPr="008C4D86">
        <w:rPr>
          <w:rFonts w:ascii="標楷體" w:eastAsia="標楷體" w:hAnsi="標楷體" w:cs="標楷體" w:hint="eastAsia"/>
          <w:snapToGrid w:val="0"/>
          <w:kern w:val="0"/>
        </w:rPr>
        <w:t>（一）遷調意願調查作業於每年一月及七月各辦理一次。（遷調意願調查表如附表）</w:t>
      </w:r>
    </w:p>
    <w:p w:rsidR="008C4D86" w:rsidRPr="008C4D86" w:rsidRDefault="008C4D86" w:rsidP="008C4D86">
      <w:pPr>
        <w:kinsoku w:val="0"/>
        <w:overflowPunct w:val="0"/>
        <w:autoSpaceDE w:val="0"/>
        <w:autoSpaceDN w:val="0"/>
        <w:adjustRightInd w:val="0"/>
        <w:snapToGrid w:val="0"/>
        <w:ind w:left="720" w:hangingChars="300" w:hanging="720"/>
        <w:jc w:val="both"/>
        <w:rPr>
          <w:rFonts w:ascii="標楷體" w:eastAsia="標楷體" w:hAnsi="標楷體" w:cs="標楷體" w:hint="eastAsia"/>
          <w:snapToGrid w:val="0"/>
          <w:kern w:val="0"/>
        </w:rPr>
      </w:pPr>
      <w:r w:rsidRPr="008C4D86">
        <w:rPr>
          <w:rFonts w:ascii="標楷體" w:eastAsia="標楷體" w:hAnsi="標楷體" w:cs="標楷體" w:hint="eastAsia"/>
          <w:snapToGrid w:val="0"/>
          <w:kern w:val="0"/>
        </w:rPr>
        <w:t>（二）遷調意願調查作業完畢後，符合遷調人員由本府人事處造冊列管。</w:t>
      </w:r>
    </w:p>
    <w:p w:rsidR="008C4D86" w:rsidRPr="008C4D86" w:rsidRDefault="008C4D86" w:rsidP="008C4D86">
      <w:pPr>
        <w:ind w:left="672" w:hangingChars="280" w:hanging="672"/>
        <w:jc w:val="both"/>
        <w:rPr>
          <w:rFonts w:hint="eastAsia"/>
        </w:rPr>
      </w:pPr>
      <w:r w:rsidRPr="008C4D86">
        <w:rPr>
          <w:rFonts w:ascii="標楷體" w:eastAsia="標楷體" w:hAnsi="標楷體" w:cs="標楷體" w:hint="eastAsia"/>
          <w:snapToGrid w:val="0"/>
          <w:kern w:val="0"/>
        </w:rPr>
        <w:t>（三）各機關職缺經核定辦理遷調者於本府全球資訊服務網公告，並依本作業原則簽報縣長核定遷調。</w:t>
      </w:r>
    </w:p>
    <w:p w:rsidR="008C4D86" w:rsidRPr="008C4D86" w:rsidRDefault="008C4D86" w:rsidP="008C4D86">
      <w:pPr>
        <w:jc w:val="both"/>
        <w:rPr>
          <w:rFonts w:hint="eastAsia"/>
        </w:rPr>
      </w:pPr>
      <w:r w:rsidRPr="008C4D86">
        <w:rPr>
          <w:rFonts w:ascii="標楷體" w:eastAsia="標楷體" w:hAnsi="標楷體" w:cs="標楷體" w:hint="eastAsia"/>
          <w:snapToGrid w:val="0"/>
          <w:kern w:val="0"/>
        </w:rPr>
        <w:t>五、人事、主計、政風人員，不適用本作業原則。</w:t>
      </w:r>
    </w:p>
    <w:sectPr w:rsidR="008C4D86" w:rsidRPr="008C4D8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870" w:rsidRDefault="005B7870" w:rsidP="00B02EA2">
      <w:r>
        <w:separator/>
      </w:r>
    </w:p>
  </w:endnote>
  <w:endnote w:type="continuationSeparator" w:id="0">
    <w:p w:rsidR="005B7870" w:rsidRDefault="005B7870" w:rsidP="00B02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870" w:rsidRDefault="005B7870" w:rsidP="00B02EA2">
      <w:r>
        <w:separator/>
      </w:r>
    </w:p>
  </w:footnote>
  <w:footnote w:type="continuationSeparator" w:id="0">
    <w:p w:rsidR="005B7870" w:rsidRDefault="005B7870" w:rsidP="00B02E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4D86"/>
    <w:rsid w:val="000A1B9F"/>
    <w:rsid w:val="00180965"/>
    <w:rsid w:val="001D1CD6"/>
    <w:rsid w:val="00491EB8"/>
    <w:rsid w:val="004A2F36"/>
    <w:rsid w:val="004A6695"/>
    <w:rsid w:val="004C2556"/>
    <w:rsid w:val="0053157D"/>
    <w:rsid w:val="005B7870"/>
    <w:rsid w:val="0064633A"/>
    <w:rsid w:val="008C4D86"/>
    <w:rsid w:val="009A7CBE"/>
    <w:rsid w:val="00A304BE"/>
    <w:rsid w:val="00AF59C3"/>
    <w:rsid w:val="00B02EA2"/>
    <w:rsid w:val="00B5682B"/>
    <w:rsid w:val="00DE099A"/>
    <w:rsid w:val="00ED6E5D"/>
    <w:rsid w:val="00EF4422"/>
    <w:rsid w:val="00F04498"/>
    <w:rsid w:val="00FC08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02EA2"/>
    <w:pPr>
      <w:tabs>
        <w:tab w:val="center" w:pos="4153"/>
        <w:tab w:val="right" w:pos="8306"/>
      </w:tabs>
      <w:snapToGrid w:val="0"/>
    </w:pPr>
    <w:rPr>
      <w:sz w:val="20"/>
      <w:szCs w:val="20"/>
    </w:rPr>
  </w:style>
  <w:style w:type="character" w:customStyle="1" w:styleId="a4">
    <w:name w:val="頁首 字元"/>
    <w:link w:val="a3"/>
    <w:rsid w:val="00B02EA2"/>
    <w:rPr>
      <w:kern w:val="2"/>
    </w:rPr>
  </w:style>
  <w:style w:type="paragraph" w:styleId="a5">
    <w:name w:val="footer"/>
    <w:basedOn w:val="a"/>
    <w:link w:val="a6"/>
    <w:rsid w:val="00B02EA2"/>
    <w:pPr>
      <w:tabs>
        <w:tab w:val="center" w:pos="4153"/>
        <w:tab w:val="right" w:pos="8306"/>
      </w:tabs>
      <w:snapToGrid w:val="0"/>
    </w:pPr>
    <w:rPr>
      <w:sz w:val="20"/>
      <w:szCs w:val="20"/>
    </w:rPr>
  </w:style>
  <w:style w:type="character" w:customStyle="1" w:styleId="a6">
    <w:name w:val="頁尾 字元"/>
    <w:link w:val="a5"/>
    <w:rsid w:val="00B02EA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447</Characters>
  <Application>Microsoft Office Word</Application>
  <DocSecurity>0</DocSecurity>
  <Lines>3</Lines>
  <Paragraphs>1</Paragraphs>
  <ScaleCrop>false</ScaleCrop>
  <Company>CMT</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花蓮縣政府及所屬機關學校非主管人員請調作業原則修正草案</dc:title>
  <dc:creator>.</dc:creator>
  <cp:lastModifiedBy>USER</cp:lastModifiedBy>
  <cp:revision>2</cp:revision>
  <dcterms:created xsi:type="dcterms:W3CDTF">2018-07-06T03:24:00Z</dcterms:created>
  <dcterms:modified xsi:type="dcterms:W3CDTF">2018-07-06T03:24:00Z</dcterms:modified>
</cp:coreProperties>
</file>